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CEE58B4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66A5D880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</w:p>
    <w:p w14:paraId="5E2FE68B">
      <w:pPr>
        <w:keepNext/>
        <w:keepLines/>
        <w:spacing w:before="260" w:after="260" w:line="416" w:lineRule="atLeast"/>
        <w:jc w:val="center"/>
        <w:outlineLvl w:val="1"/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</w:pPr>
      <w:r>
        <w:rPr>
          <w:rFonts w:hint="eastAsia" w:ascii="Times New Roman" w:hAnsi="Times New Roman" w:eastAsia="宋体"/>
          <w:b/>
          <w:bCs/>
          <w:sz w:val="28"/>
          <w:szCs w:val="28"/>
          <w:lang w:eastAsia="zh-CN"/>
        </w:rPr>
        <w:drawing>
          <wp:inline distT="0" distB="0" distL="114300" distR="114300">
            <wp:extent cx="7068820" cy="661035"/>
            <wp:effectExtent l="0" t="0" r="0" b="0"/>
            <wp:docPr id="5" name="图片 5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十四五国规标"/>
                    <pic:cNvPicPr>
                      <a:picLocks noChangeAspect="1"/>
                    </pic:cNvPicPr>
                  </pic:nvPicPr>
                  <pic:blipFill>
                    <a:blip r:embed="rId6"/>
                    <a:srcRect t="46761" b="46627"/>
                    <a:stretch>
                      <a:fillRect/>
                    </a:stretch>
                  </pic:blipFill>
                  <pic:spPr>
                    <a:xfrm>
                      <a:off x="0" y="0"/>
                      <a:ext cx="7068820" cy="661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1545871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26881B23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30"/>
          <w:szCs w:val="30"/>
          <w:lang w:val="en-US" w:eastAsia="zh-CN"/>
        </w:rPr>
      </w:pPr>
    </w:p>
    <w:p w14:paraId="5E81C5F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52"/>
          <w:szCs w:val="52"/>
        </w:rPr>
      </w:pPr>
      <w:r>
        <w:rPr>
          <w:rFonts w:hint="eastAsia" w:ascii="汉仪菱心体简" w:hAnsi="汉仪菱心体简" w:eastAsia="汉仪菱心体简" w:cs="汉仪菱心体简"/>
          <w:i w:val="0"/>
          <w:caps w:val="0"/>
          <w:color w:val="6787B2"/>
          <w:spacing w:val="0"/>
          <w:sz w:val="84"/>
          <w:szCs w:val="84"/>
          <w:shd w:val="clear" w:fill="FFFFFF"/>
          <w:lang w:val="en-US" w:eastAsia="zh-CN"/>
        </w:rPr>
        <w:t>教案</w:t>
      </w:r>
    </w:p>
    <w:p w14:paraId="412EDB9B">
      <w:pPr>
        <w:keepNext/>
        <w:keepLines/>
        <w:spacing w:before="260" w:after="260" w:line="240" w:lineRule="auto"/>
        <w:jc w:val="center"/>
        <w:outlineLvl w:val="1"/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</w:pPr>
      <w:r>
        <w:rPr>
          <w:rFonts w:hint="eastAsia" w:ascii="思源宋体 CN Heavy" w:hAnsi="思源宋体 CN Heavy" w:eastAsia="思源宋体 CN Heavy" w:cs="思源宋体 CN Heavy"/>
          <w:b/>
          <w:bCs/>
          <w:color w:val="6787B2"/>
          <w:sz w:val="112"/>
          <w:szCs w:val="112"/>
        </w:rPr>
        <w:t>护理学基础</w:t>
      </w:r>
    </w:p>
    <w:p w14:paraId="1DE0F138">
      <w:pPr>
        <w:keepNext/>
        <w:keepLines/>
        <w:spacing w:before="260" w:after="260" w:line="240" w:lineRule="auto"/>
        <w:jc w:val="center"/>
        <w:outlineLvl w:val="1"/>
        <w:rPr>
          <w:rFonts w:hint="default" w:ascii="Times New Roman" w:hAnsi="Times New Roman" w:eastAsia="宋体"/>
          <w:b/>
          <w:bCs/>
          <w:color w:val="2E75B6" w:themeColor="accent1" w:themeShade="BF"/>
          <w:sz w:val="52"/>
          <w:szCs w:val="52"/>
          <w:lang w:val="en-US" w:eastAsia="zh-CN"/>
        </w:rPr>
      </w:pP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eastAsia="zh-CN"/>
        </w:rPr>
        <w:t>（</w:t>
      </w:r>
      <w:r>
        <w:rPr>
          <w:rFonts w:hint="eastAsia" w:ascii="Times New Roman" w:hAnsi="Times New Roman"/>
          <w:b/>
          <w:bCs/>
          <w:color w:val="2E75B6" w:themeColor="accent1" w:themeShade="BF"/>
          <w:sz w:val="52"/>
          <w:szCs w:val="52"/>
          <w:lang w:val="en-US" w:eastAsia="zh-CN"/>
        </w:rPr>
        <w:t>第二版）</w:t>
      </w:r>
    </w:p>
    <w:p w14:paraId="7F875E9A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25768923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00F1166D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3D194E08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</w:pPr>
    </w:p>
    <w:p w14:paraId="17BE5798">
      <w:pPr>
        <w:keepNext/>
        <w:keepLines/>
        <w:spacing w:before="260" w:after="260" w:line="240" w:lineRule="auto"/>
        <w:jc w:val="center"/>
        <w:outlineLvl w:val="1"/>
        <w:rPr>
          <w:rFonts w:hint="eastAsia" w:ascii="Times New Roman" w:hAnsi="Times New Roman"/>
          <w:b/>
          <w:bCs/>
          <w:sz w:val="28"/>
          <w:szCs w:val="28"/>
        </w:rPr>
      </w:pPr>
      <w:r>
        <w:rPr>
          <w:rFonts w:hint="eastAsia" w:ascii="Times New Roman" w:hAnsi="Times New Roman"/>
          <w:b/>
          <w:bCs/>
          <w:color w:val="8FAADC" w:themeColor="accent5" w:themeTint="99"/>
          <w:sz w:val="28"/>
          <w:szCs w:val="28"/>
          <w:lang w:val="en-US" w:eastAsia="zh-CN"/>
          <w14:textFill>
            <w14:solidFill>
              <w14:schemeClr w14:val="accent5">
                <w14:lumMod w14:val="60000"/>
                <w14:lumOff w14:val="40000"/>
              </w14:schemeClr>
            </w14:solidFill>
          </w14:textFill>
        </w:rPr>
        <w:t>北京出版社</w:t>
      </w:r>
    </w:p>
    <w:p w14:paraId="4CE1FFFF">
      <w:pPr>
        <w:keepNext/>
        <w:keepLines/>
        <w:spacing w:before="260" w:after="260" w:line="240" w:lineRule="auto"/>
        <w:jc w:val="both"/>
        <w:outlineLvl w:val="1"/>
        <w:rPr>
          <w:rFonts w:hint="eastAsia" w:ascii="Times New Roman" w:hAnsi="Times New Roman"/>
          <w:b/>
          <w:bCs/>
          <w:sz w:val="28"/>
          <w:szCs w:val="28"/>
        </w:rPr>
        <w:sectPr>
          <w:headerReference r:id="rId4" w:type="first"/>
          <w:headerReference r:id="rId3" w:type="default"/>
          <w:pgSz w:w="11906" w:h="16838"/>
          <w:pgMar w:top="0" w:right="170" w:bottom="0" w:left="170" w:header="567" w:footer="850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</w:p>
    <w:p w14:paraId="45BEE8F2">
      <w:pPr>
        <w:pStyle w:val="3"/>
        <w:bidi w:val="0"/>
        <w:jc w:val="center"/>
        <w:rPr>
          <w:rFonts w:hint="eastAsia"/>
          <w:sz w:val="52"/>
          <w:szCs w:val="52"/>
          <w:lang w:eastAsia="zh-CN"/>
        </w:rPr>
      </w:pPr>
      <w:r>
        <w:rPr>
          <w:rFonts w:hint="eastAsia"/>
          <w:sz w:val="52"/>
          <w:szCs w:val="52"/>
          <w:lang w:eastAsia="zh-CN"/>
        </w:rPr>
        <w:t>课时分配表</w:t>
      </w:r>
    </w:p>
    <w:tbl>
      <w:tblPr>
        <w:tblStyle w:val="11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8" w:space="0"/>
          <w:insideV w:val="single" w:color="4472C4" w:themeColor="accent5" w:sz="8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76"/>
        <w:gridCol w:w="5269"/>
        <w:gridCol w:w="1735"/>
        <w:gridCol w:w="2025"/>
      </w:tblGrid>
      <w:tr w14:paraId="387E77C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735CD68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章序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5C161E8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课程内容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437AAF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课时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00B0F0"/>
            <w:vAlign w:val="center"/>
          </w:tcPr>
          <w:p w14:paraId="186FE5C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48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FFFFFF"/>
                <w:sz w:val="24"/>
                <w:szCs w:val="24"/>
                <w:vertAlign w:val="baseline"/>
                <w:lang w:eastAsia="zh-CN"/>
              </w:rPr>
              <w:t>备注</w:t>
            </w:r>
          </w:p>
        </w:tc>
      </w:tr>
      <w:tr w14:paraId="184BB40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2A4E5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8DFBC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绪论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6EB78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A60FCB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264512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38EE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6E42A4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护理程序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91DFA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13B75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45E5E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3CA4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C498E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医院和住院环境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45B2E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5A8974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9E111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D9028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3261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入院和出院患者的护理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A6D0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225E7A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AF3C5A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AE95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A231B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卧位与安全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EC0B8D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0C15ED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77C283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D45C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3E4AB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医院内感染的预防与控制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C4076A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32D4F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3BBD8C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A1258A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C4A5CB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药物疗法和过敏试验法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AFE7C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58E8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289623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7EC2E61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D68F4D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静脉输液和输血法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16A92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6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6C36D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99B7F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328A31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B7B3E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生命体征的评估及护理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9F5E8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5E0D6F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40E2CB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A0A9F0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10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8AA19A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患者的清洁护理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254C8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24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74B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E8D82B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CA87BB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11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E0DA8D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饮食护理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3E39F5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56D354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74E29B3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28FE1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12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7141D8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排泄护理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C1AAC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B5135F6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A899F9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25467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13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3BF6B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标本采集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2BB42E4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6249B0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6404C3E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D8318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14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6767CD3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冷热疗法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C0E92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99BD9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8C4344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7AB0A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15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4D5B1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病情观察和危重患者的抢救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99283F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2474C9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00BBC5C5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D873F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16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316132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临终患者的护理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3E4F7E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9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AF505C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4E3052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071B79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17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1AAD8D0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  <w:t>医疗和护理文件书写</w:t>
            </w: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B0DDB2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8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9F5B435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5B0A848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8" w:space="0"/>
            <w:insideV w:val="single" w:color="4472C4" w:themeColor="accent5" w:sz="8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93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15A2968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总计</w:t>
            </w:r>
          </w:p>
        </w:tc>
        <w:tc>
          <w:tcPr>
            <w:tcW w:w="4166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0942A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372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C6461D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default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180</w:t>
            </w:r>
          </w:p>
        </w:tc>
        <w:tc>
          <w:tcPr>
            <w:tcW w:w="160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23F747">
            <w:pPr>
              <w:keepNext/>
              <w:keepLines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center"/>
              <w:textAlignment w:val="auto"/>
              <w:outlineLvl w:val="1"/>
              <w:rPr>
                <w:rFonts w:hint="eastAsia" w:ascii="宋体" w:hAnsi="宋体" w:eastAsia="宋体" w:cs="宋体"/>
                <w:b/>
                <w:bCs/>
                <w:color w:val="000000" w:themeColor="text1"/>
                <w:sz w:val="24"/>
                <w:szCs w:val="24"/>
                <w:vertAlign w:val="baseline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</w:tbl>
    <w:p w14:paraId="4C7BE318">
      <w:pPr>
        <w:rPr>
          <w:rFonts w:hint="eastAsia" w:ascii="黑体" w:hAnsi="黑体" w:eastAsia="黑体" w:cs="黑体"/>
          <w:b/>
          <w:bCs/>
          <w:color w:val="000000" w:themeColor="text1"/>
          <w:sz w:val="44"/>
          <w:szCs w:val="44"/>
          <w:lang w:eastAsia="zh-CN"/>
          <w14:textFill>
            <w14:solidFill>
              <w14:schemeClr w14:val="tx1"/>
            </w14:solidFill>
          </w14:textFill>
        </w:rPr>
      </w:pPr>
    </w:p>
    <w:p w14:paraId="5F3F8945">
      <w:pP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</w:pPr>
      <w:r>
        <w:rPr>
          <w:rFonts w:hint="eastAsia" w:ascii="微软简老宋" w:hAnsi="微软简老宋" w:eastAsia="微软简老宋" w:cs="微软简老宋"/>
          <w:b w:val="0"/>
          <w:bCs w:val="0"/>
          <w:color w:val="00B0F0"/>
          <w:sz w:val="32"/>
          <w:szCs w:val="32"/>
        </w:rPr>
        <w:br w:type="page"/>
      </w:r>
    </w:p>
    <w:p w14:paraId="7C01B318">
      <w:pPr>
        <w:pStyle w:val="3"/>
        <w:bidi w:val="0"/>
        <w:jc w:val="center"/>
        <w:rPr>
          <w:rFonts w:hint="eastAsia"/>
          <w:color w:val="6787B2"/>
          <w:lang w:eastAsia="zh-CN"/>
        </w:rPr>
      </w:pPr>
      <w:r>
        <w:rPr>
          <w:rFonts w:hint="eastAsia" w:ascii="Times New Roman" w:hAnsi="Times New Roman"/>
          <w:b/>
          <w:bCs/>
          <w:sz w:val="28"/>
          <w:szCs w:val="28"/>
        </w:rPr>
        <w:t>第</w:t>
      </w:r>
      <w:r>
        <w:rPr>
          <w:rFonts w:hint="eastAsia" w:ascii="Times New Roman" w:hAnsi="Times New Roman"/>
          <w:b/>
          <w:bCs/>
          <w:sz w:val="28"/>
          <w:szCs w:val="28"/>
          <w:lang w:val="en-US" w:eastAsia="zh-CN"/>
        </w:rPr>
        <w:t>4</w:t>
      </w:r>
      <w:r>
        <w:rPr>
          <w:rFonts w:hint="eastAsia" w:ascii="Times New Roman" w:hAnsi="Times New Roman"/>
          <w:b/>
          <w:bCs/>
          <w:sz w:val="28"/>
          <w:szCs w:val="28"/>
        </w:rPr>
        <w:t>课  入院和出院患者的护理</w:t>
      </w:r>
    </w:p>
    <w:tbl>
      <w:tblPr>
        <w:tblStyle w:val="10"/>
        <w:tblW w:w="10205" w:type="dxa"/>
        <w:jc w:val="center"/>
        <w:tblBorders>
          <w:top w:val="double" w:color="4472C4" w:themeColor="accent5" w:sz="4" w:space="0"/>
          <w:left w:val="double" w:color="4472C4" w:themeColor="accent5" w:sz="4" w:space="0"/>
          <w:bottom w:val="double" w:color="4472C4" w:themeColor="accent5" w:sz="4" w:space="0"/>
          <w:right w:val="double" w:color="4472C4" w:themeColor="accent5" w:sz="4" w:space="0"/>
          <w:insideH w:val="single" w:color="4472C4" w:themeColor="accent5" w:sz="4" w:space="0"/>
          <w:insideV w:val="single" w:color="4472C4" w:themeColor="accent5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41"/>
        <w:gridCol w:w="7014"/>
        <w:gridCol w:w="1650"/>
      </w:tblGrid>
      <w:tr w14:paraId="531CBA1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4F4EF48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bookmarkStart w:id="0" w:name="_GoBack" w:colFirst="1" w:colLast="2"/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default" w:ascii="Times New Roman" w:hAnsi="Times New Roman"/>
                <w:b/>
                <w:szCs w:val="20"/>
              </w:rPr>
              <w:t xml:space="preserve">  </w:t>
            </w:r>
            <w:r>
              <w:rPr>
                <w:rFonts w:hint="eastAsia" w:ascii="Times New Roman" w:hAnsi="Times New Roman"/>
                <w:b/>
                <w:szCs w:val="20"/>
              </w:rPr>
              <w:t>题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FC2376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入院和出院患者的护理</w:t>
            </w:r>
          </w:p>
        </w:tc>
      </w:tr>
      <w:tr w14:paraId="71F3E82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8606015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课</w:t>
            </w:r>
            <w:r>
              <w:rPr>
                <w:rFonts w:hint="eastAsia" w:ascii="Times New Roman" w:hAnsi="宋体"/>
                <w:b/>
                <w:szCs w:val="20"/>
              </w:rPr>
              <w:t xml:space="preserve"> </w:t>
            </w:r>
            <w:r>
              <w:rPr>
                <w:rFonts w:hint="default" w:ascii="Times New Roman" w:hAnsi="宋体"/>
                <w:b/>
                <w:szCs w:val="20"/>
              </w:rPr>
              <w:t xml:space="preserve"> 时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AEF4FC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  <w:lang w:val="en-US" w:eastAsia="zh-CN"/>
              </w:rPr>
              <w:t>9</w:t>
            </w:r>
            <w:r>
              <w:rPr>
                <w:rFonts w:hint="default" w:ascii="Times New Roman" w:hAnsi="宋体"/>
                <w:szCs w:val="20"/>
              </w:rPr>
              <w:t>课时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405</w:t>
            </w:r>
            <w:r>
              <w:rPr>
                <w:rFonts w:hint="eastAsia" w:ascii="Times New Roman" w:hAnsi="宋体"/>
                <w:szCs w:val="20"/>
              </w:rPr>
              <w:t xml:space="preserve"> min）。</w:t>
            </w:r>
          </w:p>
        </w:tc>
      </w:tr>
      <w:tr w14:paraId="76B4C4C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93840D5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教学目标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CAD0F2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/>
                <w:b/>
              </w:rPr>
            </w:pPr>
            <w:r>
              <w:rPr>
                <w:rFonts w:hint="default" w:hAnsi="宋体"/>
                <w:b/>
              </w:rPr>
              <w:t>知识</w:t>
            </w:r>
            <w:r>
              <w:rPr>
                <w:rFonts w:hint="eastAsia" w:hAnsi="宋体"/>
                <w:b/>
              </w:rPr>
              <w:t>技能</w:t>
            </w:r>
            <w:r>
              <w:rPr>
                <w:rFonts w:hint="default" w:hAnsi="宋体"/>
                <w:b/>
              </w:rPr>
              <w:t>目标：</w:t>
            </w:r>
          </w:p>
          <w:p w14:paraId="25B6E1B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bCs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1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能准确记住入院程序、患者入病区后的初步护理和分级护理的内容。</w:t>
            </w:r>
          </w:p>
          <w:p w14:paraId="3BD5A1C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Times New Roman"/>
                <w:szCs w:val="20"/>
              </w:rPr>
              <w:t>2</w:t>
            </w:r>
            <w:r>
              <w:rPr>
                <w:rFonts w:hint="default" w:ascii="Times New Roman" w:hAnsi="宋体"/>
                <w:bCs/>
                <w:szCs w:val="20"/>
              </w:rPr>
              <w:t>．</w:t>
            </w:r>
            <w:r>
              <w:rPr>
                <w:rFonts w:hint="eastAsia" w:ascii="Times New Roman" w:hAnsi="宋体"/>
                <w:bCs/>
                <w:szCs w:val="20"/>
              </w:rPr>
              <w:t>能正确描述出院后床单位的消毒处理。</w:t>
            </w:r>
          </w:p>
          <w:p w14:paraId="6A74C364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Times New Roman"/>
                <w:b/>
                <w:szCs w:val="20"/>
              </w:rPr>
              <w:t>思政育人目标</w:t>
            </w:r>
            <w:r>
              <w:rPr>
                <w:rFonts w:hint="eastAsia" w:ascii="Times New Roman" w:hAnsi="Times New Roman"/>
                <w:b/>
                <w:szCs w:val="20"/>
              </w:rPr>
              <w:t>：</w:t>
            </w:r>
          </w:p>
          <w:p w14:paraId="10DD99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-6" w:right="0" w:firstLine="420" w:firstLineChars="200"/>
              <w:textAlignment w:val="auto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bCs/>
                <w:szCs w:val="20"/>
              </w:rPr>
              <w:t>让学生通过学习</w:t>
            </w:r>
            <w:r>
              <w:rPr>
                <w:rFonts w:hint="eastAsia" w:ascii="Times New Roman" w:hAnsi="宋体"/>
                <w:bCs/>
                <w:szCs w:val="20"/>
                <w:lang w:eastAsia="zh-CN"/>
              </w:rPr>
              <w:t>入院和出院患者的护理</w:t>
            </w:r>
            <w:r>
              <w:rPr>
                <w:rFonts w:hint="eastAsia" w:ascii="Times New Roman" w:hAnsi="宋体"/>
                <w:bCs/>
                <w:szCs w:val="20"/>
              </w:rPr>
              <w:t>，在临床工作中，运用人体力学原理保护同事及自身，避免职业暴露。</w:t>
            </w:r>
          </w:p>
        </w:tc>
      </w:tr>
      <w:tr w14:paraId="31618D5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D16528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教学重</w:t>
            </w:r>
            <w:r>
              <w:rPr>
                <w:rFonts w:hint="eastAsia" w:ascii="Times New Roman" w:hAnsi="宋体"/>
                <w:b/>
                <w:szCs w:val="20"/>
              </w:rPr>
              <w:t>难</w:t>
            </w:r>
            <w:r>
              <w:rPr>
                <w:rFonts w:hint="default" w:ascii="Times New Roman" w:hAnsi="宋体"/>
                <w:b/>
                <w:szCs w:val="20"/>
              </w:rPr>
              <w:t>点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36C4093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Times New Roman" w:eastAsia="宋体"/>
                <w:szCs w:val="20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教学重点：</w:t>
            </w:r>
            <w:r>
              <w:rPr>
                <w:rFonts w:hint="eastAsia" w:ascii="宋体" w:hAnsi="宋体" w:cs="宋体"/>
                <w:kern w:val="0"/>
              </w:rPr>
              <w:t>入院患者的护理</w:t>
            </w:r>
          </w:p>
          <w:p w14:paraId="1A12B57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b/>
                <w:szCs w:val="20"/>
              </w:rPr>
              <w:t>教学难点：</w:t>
            </w:r>
            <w:r>
              <w:rPr>
                <w:rFonts w:hint="eastAsia" w:ascii="宋体" w:hAnsi="宋体" w:cs="宋体"/>
                <w:kern w:val="0"/>
              </w:rPr>
              <w:t>出院患者的护理</w:t>
            </w:r>
          </w:p>
        </w:tc>
      </w:tr>
      <w:tr w14:paraId="6D06E2D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C03CD24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教学方法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52C37BF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讲授法、问答法、讨论法</w:t>
            </w:r>
          </w:p>
        </w:tc>
      </w:tr>
      <w:tr w14:paraId="15BA84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89EC7AC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教学用具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7C36B0A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宋体"/>
                <w:szCs w:val="20"/>
              </w:rPr>
              <w:t>电脑、投影仪、</w:t>
            </w:r>
            <w:r>
              <w:rPr>
                <w:rFonts w:hint="default" w:ascii="Times New Roman" w:hAnsi="宋体"/>
                <w:szCs w:val="20"/>
              </w:rPr>
              <w:t>多媒体</w:t>
            </w:r>
            <w:r>
              <w:rPr>
                <w:rFonts w:hint="eastAsia" w:ascii="Times New Roman" w:hAnsi="宋体"/>
                <w:szCs w:val="20"/>
              </w:rPr>
              <w:t>课件、教材</w:t>
            </w:r>
          </w:p>
        </w:tc>
      </w:tr>
      <w:tr w14:paraId="7A6C598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bottom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1C8D4A6E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宋体"/>
                <w:b/>
                <w:szCs w:val="20"/>
              </w:rPr>
            </w:pPr>
            <w:r>
              <w:rPr>
                <w:rFonts w:hint="default" w:ascii="Times New Roman" w:hAnsi="宋体"/>
                <w:b/>
                <w:szCs w:val="20"/>
              </w:rPr>
              <w:t>教学设计</w:t>
            </w:r>
          </w:p>
        </w:tc>
        <w:tc>
          <w:tcPr>
            <w:tcW w:w="7173" w:type="dxa"/>
            <w:gridSpan w:val="2"/>
            <w:tcBorders>
              <w:bottom w:val="double" w:color="4472C4" w:themeColor="accent5" w:sz="4" w:space="0"/>
              <w:tl2br w:val="nil"/>
              <w:tr2bl w:val="nil"/>
            </w:tcBorders>
            <w:vAlign w:val="center"/>
          </w:tcPr>
          <w:p w14:paraId="48BF318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1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考勤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2</w:t>
            </w:r>
            <w:r>
              <w:rPr>
                <w:rFonts w:hint="eastAsia" w:ascii="Times New Roman" w:hAnsi="宋体"/>
                <w:szCs w:val="20"/>
              </w:rPr>
              <w:t>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</w:t>
            </w:r>
            <w:r>
              <w:rPr>
                <w:rFonts w:hint="default" w:ascii="Times New Roman" w:hAnsi="宋体"/>
                <w:szCs w:val="20"/>
              </w:rPr>
              <w:t>40</w:t>
            </w:r>
            <w:r>
              <w:rPr>
                <w:rFonts w:hint="eastAsia" w:ascii="Times New Roman" w:hAnsi="宋体"/>
                <w:szCs w:val="20"/>
              </w:rPr>
              <w:t>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--作业布置（3min）</w:t>
            </w:r>
          </w:p>
          <w:p w14:paraId="05CFC84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 w:eastAsia="宋体"/>
                <w:szCs w:val="20"/>
                <w:lang w:val="en-US" w:eastAsia="zh-CN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2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--作业布置（2min）</w:t>
            </w:r>
          </w:p>
          <w:p w14:paraId="2B10DAC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eastAsia" w:ascii="Times New Roman" w:hAnsi="宋体"/>
                <w:szCs w:val="20"/>
              </w:rPr>
            </w:pPr>
            <w:r>
              <w:rPr>
                <w:rFonts w:hint="eastAsia" w:ascii="Times New Roman" w:hAnsi="宋体"/>
                <w:kern w:val="0"/>
                <w:szCs w:val="20"/>
              </w:rPr>
              <w:t>第</w:t>
            </w:r>
            <w:r>
              <w:rPr>
                <w:rFonts w:hint="default" w:ascii="Times New Roman" w:hAnsi="宋体"/>
                <w:kern w:val="0"/>
                <w:szCs w:val="20"/>
              </w:rPr>
              <w:t>3</w:t>
            </w:r>
            <w:r>
              <w:rPr>
                <w:rFonts w:hint="eastAsia" w:ascii="Times New Roman" w:hAnsi="宋体"/>
                <w:kern w:val="0"/>
                <w:szCs w:val="20"/>
              </w:rPr>
              <w:t>节课：</w:t>
            </w:r>
            <w:r>
              <w:rPr>
                <w:rFonts w:hint="eastAsia" w:ascii="Times New Roman" w:hAnsi="宋体"/>
                <w:szCs w:val="20"/>
                <w:lang w:eastAsia="zh-CN"/>
              </w:rPr>
              <w:t>知识讲解</w:t>
            </w:r>
            <w:r>
              <w:rPr>
                <w:rFonts w:hint="eastAsia" w:ascii="Times New Roman" w:hAnsi="宋体"/>
                <w:szCs w:val="20"/>
              </w:rPr>
              <w:t>（40min）--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课堂小结</w:t>
            </w:r>
            <w:r>
              <w:rPr>
                <w:rFonts w:hint="eastAsia" w:ascii="Times New Roman" w:hAnsi="宋体"/>
                <w:szCs w:val="20"/>
              </w:rPr>
              <w:t>（3min）--</w:t>
            </w:r>
            <w:r>
              <w:rPr>
                <w:rFonts w:hint="eastAsia" w:ascii="Times New Roman" w:hAnsi="宋体"/>
                <w:szCs w:val="20"/>
                <w:lang w:eastAsia="zh-CN"/>
              </w:rPr>
              <w:t>作业布置</w:t>
            </w:r>
            <w:r>
              <w:rPr>
                <w:rFonts w:hint="eastAsia" w:ascii="Times New Roman" w:hAnsi="宋体"/>
                <w:szCs w:val="20"/>
              </w:rPr>
              <w:t>（2min）</w:t>
            </w:r>
          </w:p>
          <w:p w14:paraId="1700862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4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066164E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5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000E420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6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7C0541D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7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28DFEA7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8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  <w:p w14:paraId="29F3CD4E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rPr>
                <w:rFonts w:hint="default" w:ascii="Times New Roman" w:hAnsi="宋体"/>
                <w:szCs w:val="20"/>
              </w:rPr>
            </w:pPr>
            <w:r>
              <w:rPr>
                <w:rFonts w:hint="default" w:ascii="Times New Roman" w:hAnsi="宋体"/>
                <w:szCs w:val="20"/>
              </w:rPr>
              <w:t>第</w:t>
            </w:r>
            <w:r>
              <w:rPr>
                <w:rFonts w:hint="eastAsia" w:ascii="Times New Roman" w:hAnsi="宋体"/>
                <w:szCs w:val="20"/>
                <w:lang w:val="en-US" w:eastAsia="zh-CN"/>
              </w:rPr>
              <w:t>9</w:t>
            </w:r>
            <w:r>
              <w:rPr>
                <w:rFonts w:hint="default" w:ascii="Times New Roman" w:hAnsi="宋体"/>
                <w:szCs w:val="20"/>
              </w:rPr>
              <w:t>节课：知识讲解（40min）--课堂小结（3min）--作业布置（2min）</w:t>
            </w:r>
          </w:p>
        </w:tc>
      </w:tr>
      <w:tr w14:paraId="60CE2B4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3D3BAA8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教学过程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3DCAE73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eastAsia" w:ascii="Times New Roman" w:hAnsi="Times New Roman"/>
                <w:b/>
                <w:bCs w:val="0"/>
                <w:color w:val="C00000"/>
                <w:szCs w:val="24"/>
              </w:rPr>
              <w:t>主 要 教 学 内 容 及 步 骤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bottom w:val="double" w:color="4472C4" w:themeColor="accent5" w:sz="4" w:space="0"/>
            </w:tcBorders>
            <w:shd w:val="clear" w:color="auto" w:fill="D0E6FF"/>
            <w:vAlign w:val="center"/>
          </w:tcPr>
          <w:p w14:paraId="32B256E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</w:pPr>
            <w:r>
              <w:rPr>
                <w:rFonts w:hint="default" w:ascii="Times New Roman" w:hAnsi="Times New Roman"/>
                <w:b/>
                <w:bCs w:val="0"/>
                <w:color w:val="C00000"/>
                <w:szCs w:val="20"/>
              </w:rPr>
              <w:t>设计意图</w:t>
            </w:r>
          </w:p>
        </w:tc>
      </w:tr>
      <w:tr w14:paraId="55B58B3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op w:val="double" w:color="4472C4" w:themeColor="accent5" w:sz="4" w:space="0"/>
              <w:tl2br w:val="nil"/>
              <w:tr2bl w:val="nil"/>
            </w:tcBorders>
            <w:shd w:val="clear" w:color="auto" w:fill="D0E6FF"/>
            <w:vAlign w:val="center"/>
          </w:tcPr>
          <w:p w14:paraId="63C9B75A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考勤</w:t>
            </w:r>
          </w:p>
          <w:p w14:paraId="13B71345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eastAsia" w:ascii="Times New Roman" w:hAnsi="Times New Roman"/>
                <w:b/>
                <w:szCs w:val="24"/>
                <w:lang w:eastAsia="zh-CN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2min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）</w:t>
            </w:r>
          </w:p>
        </w:tc>
        <w:tc>
          <w:tcPr>
            <w:tcW w:w="5807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60D162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color w:val="C00000"/>
                <w:szCs w:val="24"/>
              </w:rPr>
            </w:pPr>
            <w:r>
              <w:rPr>
                <w:rFonts w:hint="eastAsia" w:ascii="Times New Roman" w:hAnsi="Times New Roman"/>
                <w:color w:val="C00000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C00000"/>
                <w:szCs w:val="24"/>
                <w:lang w:eastAsia="zh-CN"/>
              </w:rPr>
              <w:t>【教师】</w:t>
            </w:r>
            <w:r>
              <w:rPr>
                <w:rFonts w:hint="eastAsia" w:ascii="Times New Roman" w:hAnsi="Times New Roman"/>
                <w:color w:val="C00000"/>
                <w:szCs w:val="24"/>
              </w:rPr>
              <w:t>清点上课人数，记录好考勤</w:t>
            </w:r>
          </w:p>
          <w:p w14:paraId="26A47B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left"/>
              <w:textAlignment w:val="auto"/>
              <w:rPr>
                <w:rFonts w:hint="eastAsia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■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  <w:lang w:eastAsia="zh-CN"/>
              </w:rPr>
              <w:t>【学生】</w:t>
            </w:r>
            <w:r>
              <w:rPr>
                <w:rFonts w:hint="eastAsia" w:ascii="Times New Roman" w:hAnsi="Times New Roman"/>
                <w:color w:val="548235" w:themeColor="accent6" w:themeShade="BF"/>
                <w:szCs w:val="24"/>
              </w:rPr>
              <w:t>班干部报请假人员及原因</w:t>
            </w:r>
          </w:p>
        </w:tc>
        <w:tc>
          <w:tcPr>
            <w:tcW w:w="1366" w:type="dxa"/>
            <w:tcBorders>
              <w:top w:val="double" w:color="4472C4" w:themeColor="accent5" w:sz="4" w:space="0"/>
              <w:tl2br w:val="nil"/>
              <w:tr2bl w:val="nil"/>
            </w:tcBorders>
            <w:vAlign w:val="center"/>
          </w:tcPr>
          <w:p w14:paraId="3AA271E6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center"/>
              <w:rPr>
                <w:rFonts w:hint="default" w:ascii="Times New Roman" w:hAnsi="Times New Roman"/>
                <w:szCs w:val="20"/>
              </w:rPr>
            </w:pPr>
            <w:r>
              <w:rPr>
                <w:rFonts w:hint="eastAsia" w:ascii="Times New Roman" w:hAnsi="Times New Roman"/>
                <w:szCs w:val="20"/>
              </w:rPr>
              <w:t>培养学生的组织纪律性,掌握学生的出勤情况</w:t>
            </w:r>
          </w:p>
        </w:tc>
      </w:tr>
      <w:tr w14:paraId="2592EE0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10BCE2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2A6EF9C2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</w:t>
            </w:r>
            <w:r>
              <w:rPr>
                <w:rFonts w:hint="eastAsia" w:ascii="Times New Roman" w:hAnsi="Times New Roman"/>
                <w:szCs w:val="24"/>
                <w:lang w:val="en-US" w:eastAsia="zh-CN"/>
              </w:rPr>
              <w:t>40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C4E5249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  <w:b/>
                <w:color w:val="C00000"/>
                <w:lang w:val="en-US" w:eastAsia="zh-CN"/>
              </w:rPr>
            </w:pPr>
            <w:r>
              <w:rPr>
                <w:rFonts w:hint="eastAsia" w:ascii="Times New Roman" w:hAnsi="Times New Roman"/>
                <w:b/>
                <w:color w:val="C00000"/>
              </w:rPr>
              <w:t>【教师】</w:t>
            </w:r>
            <w:r>
              <w:rPr>
                <w:rFonts w:hint="eastAsia" w:ascii="Times New Roman" w:hAnsi="Times New Roman"/>
                <w:b w:val="0"/>
                <w:bCs/>
                <w:color w:val="C00000"/>
                <w:lang w:val="en-US" w:eastAsia="zh-CN"/>
              </w:rPr>
              <w:t>展示入院患者的护理（一）</w:t>
            </w:r>
          </w:p>
          <w:p w14:paraId="01315E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一、入院程序</w:t>
            </w:r>
          </w:p>
          <w:p w14:paraId="7CF0CC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（一）办理入院手续</w:t>
            </w:r>
          </w:p>
          <w:p w14:paraId="24032B8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患者或其家属持医生签字的住院证到住院处办理住院手续，如缴纳住院费等。住院处护士将入院患者信息登记入册或录入住院患者信息管理系统，电话通知病区值班护士作好接收新患者的准备。</w:t>
            </w:r>
          </w:p>
          <w:p w14:paraId="6DF4D2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（二）实施卫生处置</w:t>
            </w:r>
          </w:p>
          <w:p w14:paraId="63CC5F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住院处根据患者的病情及身体状况对患者进行沐浴、更衣、修剪指（趾）甲灭虱虮等必要的卫生处置。对虚弱、急症、危重患者或即将分娩的产妇可暂时免浴；对传染病患者或疑似传染病患者应在隔离室进行处置，其衣物及所用过的物品均应按消毒隔离原则处理。患者的贵重物品、换下的衣服及非必要的生活用品，可交家属带回，或按手续暂时存放在住院处。</w:t>
            </w:r>
          </w:p>
          <w:p w14:paraId="02F450B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Times New Roman" w:hAnsi="Times New Roman"/>
                <w:b/>
                <w:bCs w:val="0"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（三）护送患者入病区</w:t>
            </w:r>
          </w:p>
          <w:p w14:paraId="01242E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Times New Roman" w:hAnsi="Times New Roman"/>
                <w:b w:val="0"/>
                <w:bCs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>根据患者病情，采取不同的方式护送患者进入病区。对能步行的患者，可由家属或护士陪伴送至病区；不能步行者，根据病情用平车或轮椅、担架护送入病区。护送时注意卧位、安全和保暖，不可中断必要的治疗如输液、给氧等。送至病区后，护士应与病区护士进行病人的交接。</w:t>
            </w:r>
            <w:r>
              <w:rPr>
                <w:rFonts w:hint="eastAsia" w:ascii="Times New Roman" w:hAnsi="Times New Roman"/>
                <w:b/>
                <w:color w:val="000000" w:themeColor="text1"/>
                <w:lang w:eastAsia="zh-CN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</w:p>
          <w:p w14:paraId="0836C7A9">
            <w:pPr>
              <w:keepNext w:val="0"/>
              <w:keepLines w:val="0"/>
              <w:widowControl w:val="0"/>
              <w:suppressLineNumbers w:val="0"/>
              <w:autoSpaceDE w:val="0"/>
              <w:autoSpaceDN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571955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0"/>
              </w:rPr>
            </w:pP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展示入院患者的护理（一）</w:t>
            </w:r>
            <w:r>
              <w:rPr>
                <w:rFonts w:hint="eastAsia" w:ascii="Times New Roman" w:hAnsi="Times New Roman"/>
                <w:b/>
                <w:szCs w:val="24"/>
              </w:rPr>
              <w:t>，</w:t>
            </w:r>
            <w:r>
              <w:rPr>
                <w:rFonts w:hint="eastAsia" w:ascii="Times New Roman" w:hAnsi="Times New Roman"/>
                <w:b/>
                <w:szCs w:val="24"/>
                <w:lang w:eastAsia="zh-CN"/>
              </w:rPr>
              <w:t>让学生更加仔细的阅读，从而</w:t>
            </w:r>
            <w:r>
              <w:rPr>
                <w:rFonts w:hint="eastAsia" w:ascii="Times New Roman" w:hAnsi="Times New Roman"/>
                <w:b/>
                <w:szCs w:val="24"/>
              </w:rPr>
              <w:t>激发学生的学习欲望。</w:t>
            </w:r>
          </w:p>
        </w:tc>
      </w:tr>
      <w:tr w14:paraId="3433902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47C2A3D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作业布置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（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  <w:lang w:val="en-US" w:eastAsia="zh-CN"/>
              </w:rPr>
              <w:t>3</w:t>
            </w:r>
            <w:r>
              <w:rPr>
                <w:rFonts w:hint="eastAsia" w:ascii="Times New Roman" w:hAnsi="Times New Roman"/>
                <w:b w:val="0"/>
                <w:bCs w:val="0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B9AEA87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18BC97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 w:firstLine="422" w:firstLineChars="200"/>
              <w:rPr>
                <w:rFonts w:hint="eastAsia" w:hAnsi="宋体" w:eastAsia="宋体"/>
                <w:bCs/>
                <w:lang w:eastAsia="zh-CN"/>
              </w:rPr>
            </w:pPr>
            <w:r>
              <w:rPr>
                <w:rFonts w:hint="eastAsia" w:hAnsi="宋体"/>
                <w:b/>
                <w:bCs w:val="0"/>
                <w:lang w:val="en-US" w:eastAsia="zh-CN"/>
              </w:rPr>
              <w:t>简述入院程序。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BCC4C9A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eastAsia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 w:val="0"/>
                <w:bCs/>
                <w:szCs w:val="24"/>
              </w:rPr>
              <w:t>通过课后练习，使学生巩固所学新知识</w:t>
            </w:r>
          </w:p>
        </w:tc>
      </w:tr>
      <w:tr w14:paraId="3EA28BA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5A1A318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/>
              <w:jc w:val="center"/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</w:p>
          <w:p w14:paraId="3385F387">
            <w:pPr>
              <w:keepNext w:val="0"/>
              <w:keepLines w:val="0"/>
              <w:suppressLineNumbers w:val="0"/>
              <w:spacing w:before="0" w:beforeAutospacing="0" w:after="0" w:afterAutospacing="0" w:line="264" w:lineRule="auto"/>
              <w:ind w:left="0" w:right="0" w:hanging="8"/>
              <w:jc w:val="center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default" w:ascii="Times New Roman" w:hAnsi="Times New Roman"/>
                <w:szCs w:val="24"/>
              </w:rPr>
              <w:t>（40</w:t>
            </w:r>
            <w:r>
              <w:rPr>
                <w:rFonts w:hint="eastAsia" w:ascii="Times New Roman" w:hAnsi="Times New Roman"/>
                <w:szCs w:val="24"/>
              </w:rPr>
              <w:t>min）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FC15B0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展示入院患者的护理（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0E432A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二、患者入病区后的初步护理</w:t>
            </w:r>
          </w:p>
          <w:p w14:paraId="2F7F79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（一）一般患者入院的初步护理</w:t>
            </w:r>
          </w:p>
          <w:p w14:paraId="51688C0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准备床单位　病区护士根据住院处的通知及患者的病情安排床位，将备用床改为暂空床，酌情加铺中单，并备好脸盆、痰杯、热水瓶等生活用品。</w:t>
            </w:r>
          </w:p>
          <w:p w14:paraId="3E837E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迎接新患者　患者入病区后，负责接待的护士首先应热情地接待患者，向患者作自我介绍，增强患者的安全感和信任感。</w:t>
            </w:r>
          </w:p>
          <w:p w14:paraId="588BC1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执行入院护理常规</w:t>
            </w:r>
          </w:p>
          <w:p w14:paraId="601E434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（1）为患者佩戴手腕带或其他身份确认标志，并做好解释。</w:t>
            </w:r>
          </w:p>
          <w:p w14:paraId="44759B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（2）向患者及家属简单介绍病区环境与设备，将患者带至准备好的床位，向患者介绍同室病友、床单位及设备的使用方法、医院的规章制度、主管的医护人员等情况，以便患者尽快适应患者角色。</w:t>
            </w:r>
          </w:p>
          <w:p w14:paraId="5F11A3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（3）测量并记录患者的体温、脉搏、呼吸、血压及体重，必要时测量身高。</w:t>
            </w:r>
          </w:p>
          <w:p w14:paraId="1C9680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（4）用蓝墨水笔或碳素墨水笔逐项填写住院病历的楣栏项目及页码，用红墨水笔在体温单 40 ～ 42℃之间的相应时间栏内纵向填写入院时间。填写入院登记、诊断卡及床头卡等有关表格，将诊断卡插入病员一览表，将床头（尾）卡插入患者床头（尾）夹内。</w:t>
            </w:r>
          </w:p>
          <w:p w14:paraId="0ABF3A4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按顺序排列住院病历：体温单、医嘱单、入院记录、病程记录、检验报告粘贴单、各种检查报告单、护理记录单、住院病案首页、门诊病历。将病历交给主管医生，同时通知医生诊视患者，必要时协助查体。</w:t>
            </w:r>
          </w:p>
          <w:p w14:paraId="20AC32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（6）及时执行入院医嘱：根据医嘱指导患者正确饮食，需特殊饮食者通知营养室准备膳食；指导有关检查的方法、时间及配合注意事项。</w:t>
            </w:r>
          </w:p>
          <w:p w14:paraId="3FE615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（7）按护理程序进行护理评估，填写入院护理评估单，一般患者在当班内完成，急、危、重症患者在 24 小时内完成，拟订护理计划。</w:t>
            </w:r>
          </w:p>
          <w:p w14:paraId="32EA7C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（8）耐心听取并解答患者的咨询。</w:t>
            </w:r>
          </w:p>
          <w:p w14:paraId="45395CD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（二）急诊、危重患者的入院护理</w:t>
            </w:r>
          </w:p>
          <w:p w14:paraId="08E691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准备床位　尽量安置在靠近护理站的病室，危重患者安置在抢救室，需要监护的患者安置在重症监护病房，传染病患者按消毒隔离原则安置。入院即行急诊手术、术后再到病区者，应备麻醉床；对老年人、意识不清、躁动不安者应准备床档；对呕吐、大小便失禁、伤口流血流液者，应铺好中单或垫巾。</w:t>
            </w:r>
          </w:p>
          <w:p w14:paraId="5F1D9AE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做好急救准备　通知有关医生，并备好急救药品及器材，如氧气、吸引器、输液用具、急救车等。</w:t>
            </w:r>
          </w:p>
          <w:p w14:paraId="2CE403E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迎接患者　患者入病区后，和护送人员交接患者的病情、治疗情况及有关物品等，并立即测量生命体征。</w:t>
            </w:r>
          </w:p>
          <w:p w14:paraId="0598B9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暂留陪人　意识不清，或婴幼儿、语言障碍等不能正确叙述病情的患者，需暂留家属或护送者，以便询问病史。</w:t>
            </w:r>
          </w:p>
          <w:p w14:paraId="68D9877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5. 配合抢救　积极配合医生进行抢救，密切观察病情，做好护理记录。</w:t>
            </w:r>
          </w:p>
          <w:p w14:paraId="5D7F188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497CD70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b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通过教师讲解，了解入院患者的护理（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3ADD14E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B85EF9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4EC8247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kern w:val="2"/>
                <w:sz w:val="21"/>
                <w:szCs w:val="21"/>
                <w:lang w:val="en-US" w:eastAsia="zh-CN" w:bidi="ar"/>
              </w:rPr>
              <w:t>3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F4B6FC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4BDE1A4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入院患者的护理（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）</w:t>
            </w:r>
            <w:r>
              <w:rPr>
                <w:rFonts w:hint="eastAsia" w:ascii="宋体" w:hAnsi="宋体" w:cs="宋体"/>
                <w:b/>
                <w:bCs w:val="0"/>
                <w:kern w:val="0"/>
                <w:sz w:val="21"/>
                <w:szCs w:val="21"/>
                <w:lang w:val="en-US" w:eastAsia="zh-CN" w:bidi="ar"/>
              </w:rPr>
              <w:t>，让学生知道将病历交给主管医生，同时通知医生诊视患者，必要时协助查体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A0B5C6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2343D67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F65C5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264" w:lineRule="auto"/>
              <w:ind w:left="8" w:leftChars="0" w:right="0" w:rightChars="0" w:hanging="8" w:firstLine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eastAsia" w:ascii="Times New Roman" w:hAnsi="Times New Roman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2</w:t>
            </w:r>
            <w:r>
              <w:rPr>
                <w:rFonts w:hint="default" w:ascii="Times New Roman" w:hAnsi="Times New Roman" w:eastAsia="宋体" w:cs="Times New Roman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min</w:t>
            </w:r>
            <w:r>
              <w:rPr>
                <w:rFonts w:hint="eastAsia" w:ascii="宋体" w:hAnsi="宋体" w:eastAsia="宋体" w:cs="宋体"/>
                <w:b w:val="0"/>
                <w:bCs w:val="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B361E5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682F6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0" w:firstLineChars="200"/>
              <w:jc w:val="both"/>
              <w:rPr>
                <w:rFonts w:hint="eastAsia" w:ascii="Calibri" w:hAnsi="宋体" w:eastAsia="宋体" w:cs="Times New Roman"/>
                <w:bCs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Cs/>
                <w:kern w:val="2"/>
                <w:sz w:val="21"/>
                <w:szCs w:val="21"/>
                <w:lang w:val="en-US" w:eastAsia="zh-CN" w:bidi="ar"/>
              </w:rPr>
              <w:t>简述急诊、危重患者的入院护理。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8D11A2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left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 w:val="0"/>
                <w:bCs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24A40E48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544C9E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2C55F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展示入院患者的护理（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39A049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三、分级护理</w:t>
            </w:r>
          </w:p>
          <w:p w14:paraId="5EFF88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（一）分级护理</w:t>
            </w:r>
          </w:p>
          <w:p w14:paraId="2D0E8D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分级护理是指根据患者病情的轻、重、缓、急以及生活自理能力，确定并实施不同级别的护理，共分为四个级别：特级护理、一级护理、二级护理和三级护理。</w:t>
            </w:r>
          </w:p>
          <w:p w14:paraId="69AFCE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（二）分级护理的内容</w:t>
            </w:r>
          </w:p>
          <w:p w14:paraId="59D293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护理级别应根据病情变化进行动态调整。分级依据与护理要点见表 4-1。</w:t>
            </w:r>
          </w:p>
          <w:p w14:paraId="1BDA21D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741295" cy="3196590"/>
                  <wp:effectExtent l="0" t="0" r="1905" b="381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295" cy="3196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0AA0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9FECFB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通过教师讲解，了解入院患者的护理（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三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1434181F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AC9CE4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2A475B6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37E7B2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2DA30C0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这节课我们一起学习了入院患者的护理（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），让学生知道分级护理是指根据患者病情的轻、重、缓、急以及生活自理能力。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F0669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FB12F0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CCC1FE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B21257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6C59AC9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简述分级护理的内容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80EBA4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3CE5CEEB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BED5FC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7115DD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展示出院患者的护理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73DDC69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一、出院前护理</w:t>
            </w:r>
          </w:p>
          <w:p w14:paraId="1286C19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（一）通知患者和家属</w:t>
            </w:r>
          </w:p>
          <w:p w14:paraId="7DCF75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护士根据医嘱，将出院日期、时间通知患者及家属，协助做好出院准备。</w:t>
            </w:r>
          </w:p>
          <w:p w14:paraId="14C77A5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（二）做好心理护理</w:t>
            </w:r>
          </w:p>
          <w:p w14:paraId="0BBC1A6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注意患者的情绪变化并给予安慰及鼓励，以增进其信心，减轻对离院的恐惧与焦虑。</w:t>
            </w:r>
          </w:p>
          <w:p w14:paraId="6E3550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（三）出院健康教育</w:t>
            </w:r>
          </w:p>
          <w:p w14:paraId="70BE4E3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分析患者出院后的生理、心理、社会需要，根据病情向患者或家属进行有关的健康教育，如心理调适、饮食调理、康复治疗、定期复查、卫生习惯等注意事项，必要时为患者提供书面材料。</w:t>
            </w:r>
          </w:p>
          <w:p w14:paraId="4E5D51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（四）征求意见</w:t>
            </w:r>
          </w:p>
          <w:p w14:paraId="002176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征求患者对医院工作的意见，以便不断提高医疗护理工作的质量。</w:t>
            </w:r>
          </w:p>
          <w:p w14:paraId="0EF2B65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4BC6CD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通过教师讲解，了解出院患者的护理（一）的基本理论知识。</w:t>
            </w:r>
          </w:p>
        </w:tc>
      </w:tr>
      <w:tr w14:paraId="72E0DCE4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4672F3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269DE38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94E411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356DE3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这节课我们一起学习了出院患者的护理（一），让学生知道分析患者出院后的生理、心理、社会需要，根据病情向患者或家属进行有关的健康教育。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98F02B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F00A76A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FE104F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EF371E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DF487B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简述出院前护理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1F9587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EDB91D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DF20E7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1B5D09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展示出院患者的护理（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19FBD2E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二、出院时护理</w:t>
            </w:r>
          </w:p>
          <w:p w14:paraId="314DC07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（一）执行出院医嘱</w:t>
            </w:r>
          </w:p>
          <w:p w14:paraId="0A1E09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（1）填写出院通知单，或将患者出院信息录入住院管理系统，通知家属或患者到住院处办理出院手续。</w:t>
            </w:r>
          </w:p>
          <w:p w14:paraId="51A489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（2）停止患者住院期间的一切医嘱，用红笔在各种卡片，如服药卡、治疗卡、饮食卡、护理卡或有关表格上填写“出院”字样，注明日期、时间并签名。撤去“患者一览表”上的诊断卡及床头（尾）卡。</w:t>
            </w:r>
          </w:p>
          <w:p w14:paraId="4CA4C2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（3）遵医嘱领取患者出院后需继续服用的药物，将药物交给患者或家属，同时给予用药知识指导。</w:t>
            </w:r>
          </w:p>
          <w:p w14:paraId="73F19C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（4）填写患者出院登记本。</w:t>
            </w:r>
          </w:p>
          <w:p w14:paraId="21FA04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（5）在体温单 40 ～ 42℃之间相应的时间栏内，用红笔纵向填写出院时间。</w:t>
            </w:r>
          </w:p>
          <w:p w14:paraId="220CB0F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（二）整理、完善出院病历</w:t>
            </w:r>
          </w:p>
          <w:p w14:paraId="2160087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（1）填写患者出院护理评估单。</w:t>
            </w:r>
          </w:p>
          <w:p w14:paraId="1C69D6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整理病历，患者办完出院手续后，病历交病案室保存。出院病历排列顺序：住院病历首页，出院记录，入院记录，病史及体格检查，病程记录，各种检验及检查汇报单，护理记录单，医嘱单（按时间先后顺序排），体温单（按时间先后顺序排）。</w:t>
            </w:r>
          </w:p>
          <w:p w14:paraId="41A03F2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（三）协助患者清理用物</w:t>
            </w:r>
          </w:p>
          <w:p w14:paraId="0B67C3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患者或家属办理出院手续后，护士应归还患者寄存的物品，收回患者住院期间所借的物品，并消毒处理。</w:t>
            </w:r>
          </w:p>
          <w:p w14:paraId="485EDF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（四）护送患者出院</w:t>
            </w:r>
          </w:p>
          <w:p w14:paraId="6B4BFF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根据病情，用轮椅、平车或步行护送患者至病区门外或医院门口。</w:t>
            </w:r>
          </w:p>
          <w:p w14:paraId="076765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346A376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通过教师讲解，了解出院患者的护理（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4823BFE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3817BB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31E0C0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AA546B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32F96DF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这节课我们一起学习了出院患者的护理（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），让学生知道患者或家属办理出院手续后，护士应归还患者寄存的物品，收回患者住院期间所借的物品，并消毒处理。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B374F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72EB0F6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9CFCDC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05B481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0FA4F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简述出院时护理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9080EA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781A08E1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B4ED12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44F758F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展示出院患者的护理（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6DE50C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三、出院后护理</w:t>
            </w:r>
          </w:p>
          <w:p w14:paraId="0CEF25B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出院患者离开病区后，对患者曾用的床单位必须进行清洁、消毒，以备新患者使用，防止发生医院感染。</w:t>
            </w:r>
          </w:p>
          <w:p w14:paraId="76EF70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（1）撤下病床上的污被服，放入污衣袋，根据疾病的种类决定清洗消毒的方法。</w:t>
            </w:r>
          </w:p>
          <w:p w14:paraId="75846CA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（2）用消毒液擦拭床旁桌、椅与地面。非一次性使用的痰杯、脸盆、便盆用消毒液浸泡消毒。</w:t>
            </w:r>
          </w:p>
          <w:p w14:paraId="6AA1587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（3）床垫、床褥、棉胎、枕芯等，可用床褥消毒机消毒，或日光曝晒6 小时。</w:t>
            </w:r>
          </w:p>
          <w:p w14:paraId="505E07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（4）病室开门窗通风。</w:t>
            </w:r>
          </w:p>
          <w:p w14:paraId="677870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（5）铺备用床，准备迎接新患者。</w:t>
            </w:r>
          </w:p>
          <w:p w14:paraId="55798A0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（6）传染性疾病患者用过的病床单位及病室，均按传染病终末消毒法处理。</w:t>
            </w:r>
          </w:p>
          <w:p w14:paraId="4EE59A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16486122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通过教师讲解，了解出院患者的护理（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三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408A301E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63E62F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4CB5A266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15EEF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212F41E5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这节课我们一起学习了出院患者的护理（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三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），让学生知道出院患者离开病区后，对患者曾用的床单位必须进行清洁、消毒，以备新患者使用，防止发生医院感染。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264F00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A8FD699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FC7ACD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A8B7A8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381C84B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简述出院后护理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09337B9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0BCD735D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C848B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B85A8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  <w:lang w:val="en-US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展示患者运送法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（一）</w:t>
            </w:r>
          </w:p>
          <w:p w14:paraId="3538EB8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一、轮椅运送法</w:t>
            </w:r>
          </w:p>
          <w:p w14:paraId="3F1685A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6F90317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（1）运送能坐起，但不能行走的患者。</w:t>
            </w:r>
          </w:p>
          <w:p w14:paraId="01E679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（2）帮助患者下床活动，促进血液循环和体力恢复。</w:t>
            </w:r>
          </w:p>
          <w:p w14:paraId="0F2983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4F3D71A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（1）评估患者的病情、意识状态、病损部位、体重、躯体活动能力及合作程度，有无下肢水肿、管道、伤口、骨折部位石膏固定等。</w:t>
            </w:r>
          </w:p>
          <w:p w14:paraId="39EBA1D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（2）轮椅的车轮、刹车、椅座、椅背、脚踏板、安全带等部件性能是否完好。</w:t>
            </w:r>
          </w:p>
          <w:p w14:paraId="1F3EA38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（3）环境是否宽敞，有无障碍物，地面是否平坦，气温是否适宜。</w:t>
            </w:r>
          </w:p>
          <w:p w14:paraId="2CEAE4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1ECC926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衣帽整洁，修剪指甲，洗手，戴口罩。</w:t>
            </w:r>
          </w:p>
          <w:p w14:paraId="41978D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　轮椅，根据季节酌情准备毛毯、别针，根据需要备软枕。</w:t>
            </w:r>
          </w:p>
          <w:p w14:paraId="743A99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了解轮椅运送的目的、方法与注意事项。</w:t>
            </w:r>
          </w:p>
          <w:p w14:paraId="6BA4F5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环境宽敞，移去障碍物以便于操作。</w:t>
            </w:r>
          </w:p>
          <w:p w14:paraId="555BE8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70F9BA5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轮椅运送法的操作步骤及要点说明见表 4-2。</w:t>
            </w:r>
          </w:p>
          <w:p w14:paraId="2FBDA3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2623185" cy="3090545"/>
                  <wp:effectExtent l="0" t="0" r="5715" b="14605"/>
                  <wp:docPr id="2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3185" cy="309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3284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0A5A235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（1）护患沟通良好，患者主动配合。</w:t>
            </w:r>
          </w:p>
          <w:p w14:paraId="6C18D82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（2）运送安全、顺利。</w:t>
            </w:r>
          </w:p>
          <w:p w14:paraId="209B5A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（3）护士操作规范，动作轻稳，节力、协调。</w:t>
            </w:r>
          </w:p>
          <w:p w14:paraId="1C1EA4F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153B699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（1）注意安全：注意观察患者病情，推轮椅行进的过程中，下坡时减慢速度并嘱患者抓紧扶手尽量靠后坐，过门槛时翘起前轮，以免患者感觉不适或发生意外。</w:t>
            </w:r>
          </w:p>
          <w:p w14:paraId="79015EE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（2）寒冷季节注意保暖。</w:t>
            </w:r>
          </w:p>
          <w:p w14:paraId="0BE418C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488FBD8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（1）向患者介绍轮椅运送的目的、配合方法及注意事项，嘱患者尽量靠后坐，头、背后倾，抓住扶手，勿向前倾。</w:t>
            </w:r>
          </w:p>
          <w:p w14:paraId="6A284A8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（2）嘱患者若有不适及时告诉护士，勿突然自行下轮椅。</w:t>
            </w:r>
          </w:p>
          <w:p w14:paraId="6BC68D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CA4BFF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通过教师讲解，了解患者运送法（一）的基本理论知识。</w:t>
            </w:r>
          </w:p>
        </w:tc>
      </w:tr>
      <w:tr w14:paraId="7CC1E16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3A18061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7A8180C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09D5137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564D0FE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这节课我们一起学习了患者运送法（一），让学生知道帮助患者下床活动，促进血液循环和体力恢复。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936CAD7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77EE447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6DFCF91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692D38A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78A6CF3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简述轮椅运送法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681980BE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122B9B03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2C6100B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5F920ED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展示患者运送法（</w:t>
            </w:r>
            <w:r>
              <w:rPr>
                <w:rFonts w:hint="eastAsia" w:ascii="宋体" w:hAnsi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）</w:t>
            </w:r>
          </w:p>
          <w:p w14:paraId="7A33677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二、平车运送法</w:t>
            </w:r>
          </w:p>
          <w:p w14:paraId="5479E5B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【目的】</w:t>
            </w:r>
          </w:p>
          <w:p w14:paraId="38DEFF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运送不能起床的患者。</w:t>
            </w:r>
          </w:p>
          <w:p w14:paraId="078C08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【评估】</w:t>
            </w:r>
          </w:p>
          <w:p w14:paraId="5773B77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（1）评估患者的病情、意识状态、病损部位、体重、躯体活动能力及合作程度，有无骨折、出血、输液、输氧等。</w:t>
            </w:r>
          </w:p>
          <w:p w14:paraId="463472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（2）平车的车轮、刹车、防护栏、输液挂钩等部件性能是否完好。</w:t>
            </w:r>
          </w:p>
          <w:p w14:paraId="484EDCA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（3）环境是否宽敞，有无障碍物，高层建筑中电梯是否能容下平车，或有无上下楼的坡道，地面是否平坦；气温是否适宜。</w:t>
            </w:r>
          </w:p>
          <w:p w14:paraId="2A2F40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【计划】</w:t>
            </w:r>
          </w:p>
          <w:p w14:paraId="1B7BF3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操作者准备　衣帽整洁，修剪指甲，洗手，戴口罩。</w:t>
            </w:r>
          </w:p>
          <w:p w14:paraId="02CFF4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用物准备　平车；天气寒冷时准备保暖的毛毯或棉被；可能受患者体液、血液、排泄物、分泌物、呕吐物污染时，准备中单或垫巾；患者有骨折时准备木板、帆布兜。</w:t>
            </w:r>
          </w:p>
          <w:p w14:paraId="73BF486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患者准备　了解平车运送的目的、方法与注意事项。</w:t>
            </w:r>
          </w:p>
          <w:p w14:paraId="4FE35B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环境准备　环境宽敞，移去障碍物以便于操作。</w:t>
            </w:r>
          </w:p>
          <w:p w14:paraId="23084E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【实施】</w:t>
            </w:r>
          </w:p>
          <w:p w14:paraId="3A11EE4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平车运送法的操作步骤及要点说明见表 4-3。</w:t>
            </w:r>
          </w:p>
          <w:p w14:paraId="1E59C1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043555" cy="3018790"/>
                  <wp:effectExtent l="0" t="0" r="4445" b="10160"/>
                  <wp:docPr id="1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43555" cy="30187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85D83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【评价】</w:t>
            </w:r>
          </w:p>
          <w:p w14:paraId="5CF610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（1）护患沟通良好，患者主动配合。</w:t>
            </w:r>
          </w:p>
          <w:p w14:paraId="1C616D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（2）患者安全、舒适，无损伤等并发症。</w:t>
            </w:r>
          </w:p>
          <w:p w14:paraId="03F8D45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（3）护士操作规范，动作轻稳，节力、协调。</w:t>
            </w:r>
          </w:p>
          <w:p w14:paraId="7113AC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【注意事项】</w:t>
            </w:r>
          </w:p>
          <w:p w14:paraId="6014595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确保患者安全：搬运前仔细检查平车；患者上下平车前，护士需固定平车；运行过程中护士站于患者头侧，便于及时观察病情；保持输液输氧及管道通畅、固定，防止逆流或脱落；颈椎损伤者保持头部中立位，并加以固定；颅脑损伤、颌面部外伤及昏迷者头转向一侧；冬季注意保暖；骨折患者应注意骨折部位的固定，并在车上垫木板；颅脑手术或损伤患者搬运时，避免剧烈翻动，以免发生脑疝。</w:t>
            </w:r>
          </w:p>
          <w:p w14:paraId="2D8E445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保证患者舒适：搬运时动作要轻稳，多人搬运时动作要协调一致；患者头部卧于平车大轮端，防止头部转动过多引起不适；上下坡时头处于高位，以免头部低垂充血引起不适；推车行进时车速适宜，进出门时先将门打开，不可碰撞墙及门框。</w:t>
            </w:r>
          </w:p>
          <w:p w14:paraId="1E9E54E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（3）护士操作时注意节力，身体尽量靠近患者，同时两腿分开以扩大支撑面。</w:t>
            </w:r>
          </w:p>
          <w:p w14:paraId="56F81A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【健康教育】</w:t>
            </w:r>
          </w:p>
          <w:p w14:paraId="1F5F639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（1）向患者介绍搬运的配合方法，指导患者配合护士用力。</w:t>
            </w:r>
          </w:p>
          <w:p w14:paraId="602D5F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（2）向患者介绍平车运送的注意事项，嘱患者抓住平车扶栏，在平车行进中头部及四肢勿伸出平车外，若有不适及时告诉护士，勿突然坐起或自行下车。</w:t>
            </w:r>
          </w:p>
          <w:p w14:paraId="5DA26B3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5A78B2B5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通过教师讲解，了解患者运送法（</w:t>
            </w:r>
            <w:r>
              <w:rPr>
                <w:rFonts w:hint="eastAsia" w:ascii="Times New Roman" w:hAnsi="Times New Roman"/>
                <w:b/>
                <w:szCs w:val="24"/>
                <w:lang w:val="en-US" w:eastAsia="zh-CN"/>
              </w:rPr>
              <w:t>二</w:t>
            </w:r>
            <w:r>
              <w:rPr>
                <w:rFonts w:hint="eastAsia" w:ascii="Times New Roman" w:hAnsi="Times New Roman"/>
                <w:b/>
                <w:szCs w:val="24"/>
              </w:rPr>
              <w:t>）的基本理论知识。</w:t>
            </w:r>
          </w:p>
        </w:tc>
      </w:tr>
      <w:tr w14:paraId="67B6781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4CD30FF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642255B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2850F27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17B856C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这节课我们一起学习了患者运送法（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二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），让学生知道平车的车轮、刹车、防护栏、输液挂钩等部件性能是否完好。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5E042CC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0196C9B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5A47AAE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347E3F4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436FB1DF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简述平车运送法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724398C3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4B10F277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061C11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  <w:lang w:eastAsia="zh-CN"/>
              </w:rPr>
              <w:t>知识讲解</w:t>
            </w:r>
            <w:r>
              <w:rPr>
                <w:rFonts w:hint="default" w:ascii="Times New Roman" w:hAnsi="Times New Roman"/>
                <w:szCs w:val="24"/>
              </w:rPr>
              <w:t>（45</w:t>
            </w:r>
            <w:r>
              <w:rPr>
                <w:rFonts w:hint="eastAsia" w:ascii="Times New Roman" w:hAnsi="Times New Roman"/>
                <w:szCs w:val="24"/>
              </w:rPr>
              <w:t>min</w:t>
            </w:r>
            <w:r>
              <w:rPr>
                <w:rFonts w:hint="default" w:ascii="Times New Roman" w:hAnsi="Times New Roman"/>
                <w:szCs w:val="24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187BE50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color w:val="C00000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C00000"/>
                <w:kern w:val="2"/>
                <w:sz w:val="21"/>
                <w:szCs w:val="21"/>
                <w:lang w:val="en-US" w:eastAsia="zh-CN" w:bidi="ar"/>
              </w:rPr>
              <w:t>【教师】</w:t>
            </w:r>
            <w:r>
              <w:rPr>
                <w:rFonts w:hint="eastAsia" w:ascii="宋体" w:hAnsi="宋体" w:eastAsia="宋体" w:cs="宋体"/>
                <w:b w:val="0"/>
                <w:bCs/>
                <w:color w:val="C00000"/>
                <w:kern w:val="2"/>
                <w:sz w:val="21"/>
                <w:szCs w:val="21"/>
                <w:lang w:val="en-US" w:eastAsia="zh-CN" w:bidi="ar"/>
              </w:rPr>
              <w:t>展示直击护考</w:t>
            </w:r>
          </w:p>
          <w:p w14:paraId="2D1EDC2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一、文字题</w:t>
            </w:r>
          </w:p>
          <w:p w14:paraId="610E532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【A1 型题】</w:t>
            </w:r>
          </w:p>
          <w:p w14:paraId="243F7AD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1. 一般患者入病区后的初步护理，应首先（　　）。</w:t>
            </w:r>
          </w:p>
          <w:p w14:paraId="19D799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介绍住院规章制度</w:t>
            </w:r>
          </w:p>
          <w:p w14:paraId="38D569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B. 扶助上床休息，护士自我介绍</w:t>
            </w:r>
          </w:p>
          <w:p w14:paraId="0ACA7B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测量生命体征及体重</w:t>
            </w:r>
          </w:p>
          <w:p w14:paraId="5B3C4F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D. 通知医生，协助体检</w:t>
            </w:r>
          </w:p>
          <w:p w14:paraId="4BD6C2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用红墨水笔在体温单 40 ～ 42℃横线之间填写入院时间</w:t>
            </w:r>
          </w:p>
          <w:p w14:paraId="17C394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2. 需要一级护理的患者是（　　）。</w:t>
            </w:r>
          </w:p>
          <w:p w14:paraId="75E287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术前检查准备阶段的患者</w:t>
            </w:r>
          </w:p>
          <w:p w14:paraId="3CA7DA3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B. 置心脏起搏器后，病情稳定 1 周者</w:t>
            </w:r>
          </w:p>
          <w:p w14:paraId="3DAAD74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胃部手术后第 2 天的患者</w:t>
            </w:r>
          </w:p>
          <w:p w14:paraId="4D4A163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D. 一般慢性病患者</w:t>
            </w:r>
          </w:p>
          <w:p w14:paraId="6F749B5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复杂疑难大手术患者</w:t>
            </w:r>
          </w:p>
          <w:p w14:paraId="7AA72A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3. 三人搬运法正确的做法是（　　）。</w:t>
            </w:r>
          </w:p>
          <w:p w14:paraId="3571D72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甲托住患者的头、颈、肩及胸背部，乙托住患者的腰、臀部，丙托住患者腘窝、小腿 </w:t>
            </w:r>
          </w:p>
          <w:p w14:paraId="4D78E7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B. 甲托患者腰部，乙托患者臀部，丙托患者腘窝、腿部</w:t>
            </w:r>
          </w:p>
          <w:p w14:paraId="25ACAB3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甲托患者头、肩部，乙托患者臀部、丙托患者腿部</w:t>
            </w:r>
          </w:p>
          <w:p w14:paraId="0A9234D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D.甲托患者头部，乙托患者背部，丙托患者腘窝、腿部</w:t>
            </w:r>
          </w:p>
          <w:p w14:paraId="257DD7F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甲托患者头、肩胛部，乙托患者的背部，丙托患者腘窝、腿部</w:t>
            </w:r>
          </w:p>
          <w:p w14:paraId="5A0850D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4. 杨女士，妊娠 9 个月，宫口已开，急诊入院。住院处护士应做的护理工作中不妥的是（　　）。</w:t>
            </w:r>
          </w:p>
          <w:p w14:paraId="0715A0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办理入院手续 B. 进行卫生处置</w:t>
            </w:r>
          </w:p>
          <w:p w14:paraId="3EDACFF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用平车送入产科 D. 通知住院医师</w:t>
            </w:r>
          </w:p>
          <w:p w14:paraId="7309153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立即给孕妇吸氧</w:t>
            </w:r>
          </w:p>
          <w:p w14:paraId="775070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【A2 型题】</w:t>
            </w:r>
          </w:p>
          <w:p w14:paraId="33408E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5. 赵先生，73 岁，因“慢性阻塞性肺气肿、呼吸衰竭”需住院治疗，住院处的护理人员首先应（　　）。</w:t>
            </w:r>
          </w:p>
          <w:p w14:paraId="46BE1D4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卫生处置 B. 介绍医院的规章制度</w:t>
            </w:r>
          </w:p>
          <w:p w14:paraId="6050B5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立即护送患者入病区 D. 通知医生做抢救准备 </w:t>
            </w:r>
          </w:p>
          <w:p w14:paraId="32973AA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了解患者有何护理问题</w:t>
            </w:r>
          </w:p>
          <w:p w14:paraId="2954F94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6. 李女士，53 岁，因哮喘急性发作，急诊入院。护士在入院初步护理中，下列哪项不妥（　　）。</w:t>
            </w:r>
          </w:p>
          <w:p w14:paraId="426F389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护士自我介绍，消除陌生感 B. 立即给患者氧气吸入</w:t>
            </w:r>
          </w:p>
          <w:p w14:paraId="348386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安慰患者，减轻焦虑 D. 详细介绍环境及规章制度</w:t>
            </w:r>
          </w:p>
          <w:p w14:paraId="515062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通知医生，给予诊治</w:t>
            </w:r>
          </w:p>
          <w:p w14:paraId="52C7776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7. 张先生，45 岁，因上消化道大出血被送至急诊室。值班护士在医生未到达前首先应（　　）。</w:t>
            </w:r>
          </w:p>
          <w:p w14:paraId="46BD49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记录患者入院时间和病情变化</w:t>
            </w:r>
          </w:p>
          <w:p w14:paraId="16B5A7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B. 向家属了解病史，耐心解释</w:t>
            </w:r>
          </w:p>
          <w:p w14:paraId="2B081EB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通知住院处，办理入院手续</w:t>
            </w:r>
          </w:p>
          <w:p w14:paraId="332FEE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D. 测量生命体征，建立静脉通路</w:t>
            </w:r>
          </w:p>
          <w:p w14:paraId="2F6782C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注射止血药物，抽血标本配血</w:t>
            </w:r>
          </w:p>
          <w:p w14:paraId="556C5E1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8. 王女士，66 岁，因风湿性心脏病、心力衰竭住院。护士应如何为患者准备床位（　　）。</w:t>
            </w:r>
          </w:p>
          <w:p w14:paraId="7B3B404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将其安排在观察室 B. 安排在患者多的病室</w:t>
            </w:r>
          </w:p>
          <w:p w14:paraId="1D8C50D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随意选择床位 D. 将其安排在隔离室</w:t>
            </w:r>
          </w:p>
          <w:p w14:paraId="29F3929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安排在离办公室较近的小病室</w:t>
            </w:r>
          </w:p>
          <w:p w14:paraId="2D092B3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9. 陶先生，25 岁，因颈椎骨折而住院，现需搬运至平车上送 CT 室检查，平车与床的适当位置是（　　）。</w:t>
            </w:r>
          </w:p>
          <w:p w14:paraId="18B1CC8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平车头端与床尾相接 B. 平车头端与床头平齐</w:t>
            </w:r>
          </w:p>
          <w:p w14:paraId="1FA3FAE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平车头端与床头呈钝角 D. 平车头端与床尾呈锐角 </w:t>
            </w:r>
          </w:p>
          <w:p w14:paraId="3974F8F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平车头端与床尾呈钝角</w:t>
            </w:r>
          </w:p>
          <w:p w14:paraId="6F8CBF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10. 在交通事故现场抢救脊柱伤员时，以下做法错误的是（　　）。</w:t>
            </w:r>
          </w:p>
          <w:p w14:paraId="68BE27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不乱加搬动 B. 保持脊柱安定</w:t>
            </w:r>
          </w:p>
          <w:p w14:paraId="389A9C4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勿扶持伤者走动 D. 使用软担架运送</w:t>
            </w:r>
          </w:p>
          <w:p w14:paraId="33A1471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担架放救护车上时，应让伤员的脚在前，头在后</w:t>
            </w:r>
          </w:p>
          <w:p w14:paraId="7DB5E09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【A3 型题】</w:t>
            </w:r>
          </w:p>
          <w:p w14:paraId="27E453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（11 ～ 13 题共用题干）</w:t>
            </w:r>
          </w:p>
          <w:p w14:paraId="5FDD2F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许先生，60 岁，胃癌，行胃大部切除手术，术后用平车运送回病房。</w:t>
            </w:r>
          </w:p>
          <w:p w14:paraId="7A7D4D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11. 关于搬运患者，做法不妥的是（　　）。</w:t>
            </w:r>
          </w:p>
          <w:p w14:paraId="5597376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输液不可中断 B. 上坡时，护士应站在平车头端</w:t>
            </w:r>
          </w:p>
          <w:p w14:paraId="2E2DD30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进门时不可用车撞门 D. 患者头卧于大轮端</w:t>
            </w:r>
          </w:p>
          <w:p w14:paraId="5F80717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护士抵住病床，协助患者按臀部、下肢、上身的顺序向床上挪动</w:t>
            </w:r>
          </w:p>
          <w:p w14:paraId="14CEA53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12. 术后第2天，伤口无明显渗血，禁食，大静脉营养，主诉刀口疼痛、无力。根据患者情况护士应该多长时间观察巡视患者 1 次（　　）。</w:t>
            </w:r>
          </w:p>
          <w:p w14:paraId="1191CE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24 小时特别护理 B. 每 15 ～ 30 分钟观察 l 次</w:t>
            </w:r>
          </w:p>
          <w:p w14:paraId="40094CB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每 1 小时巡视观察 l 次 D. 每 2 小时巡视观察 l 次</w:t>
            </w:r>
          </w:p>
          <w:p w14:paraId="72B83D6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每 3 小时巡视观察 l 次</w:t>
            </w:r>
          </w:p>
          <w:p w14:paraId="1E83B7C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13. 术后 1 周，患者想去医院花园晒太阳，护士协助患者坐轮椅，下列哪项是错误的（　　）。</w:t>
            </w:r>
          </w:p>
          <w:p w14:paraId="481753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检查轮椅性能是否完好 B. 将椅背与床尾平齐，翻起脚踏板</w:t>
            </w:r>
          </w:p>
          <w:p w14:paraId="5FB4994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拉起车闸固定车轮 D. 患者坐稳后放下脚踏板</w:t>
            </w:r>
          </w:p>
          <w:p w14:paraId="34E1910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尽量使患者身体靠前坐</w:t>
            </w:r>
          </w:p>
          <w:p w14:paraId="034DE9A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（14 ～ 16 题共用题干）</w:t>
            </w:r>
          </w:p>
          <w:p w14:paraId="3EB05A2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李女士，40 岁，甲状腺手术后，医嘱明日出院。张护士是责任护士。</w:t>
            </w:r>
          </w:p>
          <w:p w14:paraId="28261A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14. 张护士首先应该（　　）。</w:t>
            </w:r>
          </w:p>
          <w:p w14:paraId="31B4A14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填写出院护理记录单 B. 给予出院指导</w:t>
            </w:r>
          </w:p>
          <w:p w14:paraId="0706661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征求患者对护理工作的意见 D. 通知患者及家属做好出院的准备</w:t>
            </w:r>
          </w:p>
          <w:p w14:paraId="3F912CA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通知患者办理出院手续</w:t>
            </w:r>
          </w:p>
          <w:p w14:paraId="262D1D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15. 张护士为其整理出院病历时，首页应该是（　　）。</w:t>
            </w:r>
          </w:p>
          <w:p w14:paraId="2EB533C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手术记录单 B. 住院病案首页</w:t>
            </w:r>
          </w:p>
          <w:p w14:paraId="7279B46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体温单 D. 医嘱单</w:t>
            </w:r>
          </w:p>
          <w:p w14:paraId="58F22B2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病史首页</w:t>
            </w:r>
          </w:p>
          <w:p w14:paraId="5520214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16. 对该患者使用过的病床单元的处理，下列哪项不妥（　　）。</w:t>
            </w:r>
          </w:p>
          <w:p w14:paraId="220EED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撤下被服送洗 B. 床垫、棉胎置于日光下曝晒 6 小时</w:t>
            </w:r>
          </w:p>
          <w:p w14:paraId="53717C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痰杯、便盆浸泡于消毒液中 D. 床单元用消毒液擦拭 </w:t>
            </w:r>
          </w:p>
          <w:p w14:paraId="7CFA8E8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立即铺好暂空床</w:t>
            </w:r>
          </w:p>
          <w:p w14:paraId="60B3D14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 w:val="0"/>
                <w:color w:val="000000"/>
                <w:kern w:val="2"/>
                <w:sz w:val="21"/>
                <w:szCs w:val="21"/>
                <w:lang w:val="en-US" w:eastAsia="zh-CN" w:bidi="ar"/>
              </w:rPr>
              <w:t>二、图片题</w:t>
            </w:r>
          </w:p>
          <w:p w14:paraId="3D71966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>当护士弯腰操作时，下图中腿部的姿势可达到的目的是（　　）。</w:t>
            </w:r>
          </w:p>
          <w:p w14:paraId="1204F07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1824355" cy="1812290"/>
                  <wp:effectExtent l="0" t="0" r="4445" b="16510"/>
                  <wp:docPr id="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24355" cy="18122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E5E33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A. 支撑面缩小</w:t>
            </w:r>
          </w:p>
          <w:p w14:paraId="3A9E8AC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B. 支撑面扩大</w:t>
            </w:r>
          </w:p>
          <w:p w14:paraId="6AEFF51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C. 重心升高</w:t>
            </w:r>
          </w:p>
          <w:p w14:paraId="303DE96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D. 省力</w:t>
            </w:r>
          </w:p>
          <w:p w14:paraId="09D5710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 w:val="0"/>
                <w:bCs/>
                <w:color w:val="000000"/>
                <w:kern w:val="2"/>
                <w:sz w:val="21"/>
                <w:szCs w:val="21"/>
                <w:lang w:val="en-US" w:eastAsia="zh-CN" w:bidi="ar"/>
              </w:rPr>
              <w:t xml:space="preserve"> E. 重力线在支撑面内</w:t>
            </w:r>
          </w:p>
          <w:p w14:paraId="4518047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/>
              <w:jc w:val="both"/>
              <w:textAlignment w:val="auto"/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b/>
                <w:bCs/>
                <w:color w:val="538135"/>
                <w:kern w:val="2"/>
                <w:sz w:val="21"/>
                <w:szCs w:val="21"/>
                <w:lang w:val="en-US" w:eastAsia="zh-CN" w:bidi="ar"/>
              </w:rPr>
              <w:t>【学生】</w:t>
            </w:r>
            <w:r>
              <w:rPr>
                <w:rFonts w:hint="eastAsia" w:ascii="宋体" w:hAnsi="宋体" w:eastAsia="宋体" w:cs="宋体"/>
                <w:color w:val="538135"/>
                <w:kern w:val="2"/>
                <w:sz w:val="21"/>
                <w:szCs w:val="21"/>
                <w:lang w:val="en-US" w:eastAsia="zh-CN" w:bidi="ar"/>
              </w:rPr>
              <w:t>思考、讨论。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384D9C1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jc w:val="left"/>
              <w:rPr>
                <w:rFonts w:hint="default" w:ascii="Times New Roman" w:hAnsi="Times New Roman"/>
                <w:szCs w:val="24"/>
              </w:rPr>
            </w:pPr>
            <w:r>
              <w:rPr>
                <w:rFonts w:hint="eastAsia" w:ascii="Times New Roman" w:hAnsi="Times New Roman"/>
                <w:b/>
                <w:szCs w:val="24"/>
              </w:rPr>
              <w:t>通过教师讲解，了解直击护考的基本理论知识。</w:t>
            </w:r>
          </w:p>
        </w:tc>
      </w:tr>
      <w:tr w14:paraId="3FA3EEC2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1AEF7DB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="微软雅黑" w:hAnsi="微软雅黑" w:eastAsia="微软雅黑" w:cs="Times New Roman"/>
                <w:b/>
                <w:bCs w:val="0"/>
                <w:kern w:val="2"/>
                <w:sz w:val="24"/>
                <w:szCs w:val="24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课堂小结</w:t>
            </w:r>
          </w:p>
          <w:p w14:paraId="75B3A141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3min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7660FD0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回顾和总结本节课的知识点。</w:t>
            </w:r>
          </w:p>
          <w:p w14:paraId="67EF0C58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这节课我们一起学习了直击护考，让学生</w:t>
            </w: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能够巩固所学的知识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45F5AE4A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通过对所学知识的回顾，培养学生的归纳总结能力</w:t>
            </w:r>
          </w:p>
        </w:tc>
      </w:tr>
      <w:tr w14:paraId="3644B00C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7CA9BA9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/>
              <w:ind w:left="0" w:leftChars="0" w:right="0" w:rightChars="0"/>
              <w:jc w:val="center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 w:val="0"/>
                <w:kern w:val="2"/>
                <w:sz w:val="24"/>
                <w:szCs w:val="24"/>
                <w:lang w:val="en-US" w:eastAsia="zh-CN" w:bidi="ar"/>
              </w:rPr>
              <w:t>作业布置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（</w:t>
            </w:r>
            <w:r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  <w:lang w:val="en-US" w:eastAsia="zh-CN" w:bidi="ar"/>
              </w:rPr>
              <w:t>2min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）</w:t>
            </w:r>
          </w:p>
        </w:tc>
        <w:tc>
          <w:tcPr>
            <w:tcW w:w="5807" w:type="dxa"/>
            <w:tcBorders>
              <w:tl2br w:val="nil"/>
              <w:tr2bl w:val="nil"/>
            </w:tcBorders>
            <w:vAlign w:val="center"/>
          </w:tcPr>
          <w:p w14:paraId="596A16E2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right="0"/>
              <w:jc w:val="both"/>
              <w:rPr>
                <w:rFonts w:hint="default" w:ascii="Times New Roman" w:hAnsi="Times New Roman" w:eastAsia="宋体" w:cs="Times New Roman"/>
                <w:kern w:val="2"/>
                <w:sz w:val="21"/>
                <w:szCs w:val="21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【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教师</w:t>
            </w: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】</w:t>
            </w:r>
            <w:r>
              <w:rPr>
                <w:rFonts w:hint="eastAsia" w:ascii="宋体" w:hAnsi="宋体" w:eastAsia="宋体" w:cs="宋体"/>
                <w:b/>
                <w:bCs w:val="0"/>
                <w:color w:val="CC0066"/>
                <w:kern w:val="2"/>
                <w:sz w:val="21"/>
                <w:szCs w:val="21"/>
                <w:lang w:val="en-US" w:eastAsia="zh-CN" w:bidi="ar"/>
              </w:rPr>
              <w:t>布置课后作业</w:t>
            </w:r>
          </w:p>
          <w:p w14:paraId="50F39570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 w:firstLine="422" w:firstLineChars="200"/>
              <w:jc w:val="both"/>
              <w:rPr>
                <w:rFonts w:hint="eastAsia" w:ascii="Times New Roman" w:hAnsi="Times New Roman" w:eastAsia="宋体" w:cs="Times New Roman"/>
                <w:b/>
                <w:bCs w:val="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简述搬运患者的过程</w:t>
            </w:r>
            <w:r>
              <w:rPr>
                <w:rFonts w:hint="eastAsia" w:ascii="宋体" w:hAnsi="宋体" w:eastAsia="宋体" w:cs="宋体"/>
                <w:b/>
                <w:bCs w:val="0"/>
                <w:kern w:val="2"/>
                <w:sz w:val="21"/>
                <w:szCs w:val="21"/>
                <w:lang w:val="en-US" w:eastAsia="zh-CN" w:bidi="ar"/>
              </w:rPr>
              <w:t>。</w:t>
            </w:r>
          </w:p>
        </w:tc>
        <w:tc>
          <w:tcPr>
            <w:tcW w:w="1366" w:type="dxa"/>
            <w:tcBorders>
              <w:tl2br w:val="nil"/>
              <w:tr2bl w:val="nil"/>
            </w:tcBorders>
            <w:vAlign w:val="center"/>
          </w:tcPr>
          <w:p w14:paraId="2305346B">
            <w:pPr>
              <w:keepNext w:val="0"/>
              <w:keepLines w:val="0"/>
              <w:widowControl w:val="0"/>
              <w:suppressLineNumbers w:val="0"/>
              <w:spacing w:before="0" w:beforeAutospacing="0" w:after="0" w:afterAutospacing="0" w:line="360" w:lineRule="auto"/>
              <w:ind w:left="0" w:leftChars="0" w:right="0" w:rightChars="0"/>
              <w:jc w:val="both"/>
              <w:rPr>
                <w:rFonts w:hint="eastAsia" w:ascii="Times New Roman" w:hAnsi="Times New Roman" w:eastAsia="宋体" w:cs="Times New Roman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宋体" w:hAnsi="宋体" w:eastAsia="宋体" w:cs="宋体"/>
                <w:kern w:val="2"/>
                <w:sz w:val="21"/>
                <w:szCs w:val="21"/>
                <w:lang w:val="en-US" w:eastAsia="zh-CN" w:bidi="ar"/>
              </w:rPr>
              <w:t>通过课后练习，使学生巩固所学新知识</w:t>
            </w:r>
          </w:p>
        </w:tc>
      </w:tr>
      <w:tr w14:paraId="60463220">
        <w:tblPrEx>
          <w:tblBorders>
            <w:top w:val="double" w:color="4472C4" w:themeColor="accent5" w:sz="4" w:space="0"/>
            <w:left w:val="double" w:color="4472C4" w:themeColor="accent5" w:sz="4" w:space="0"/>
            <w:bottom w:val="double" w:color="4472C4" w:themeColor="accent5" w:sz="4" w:space="0"/>
            <w:right w:val="double" w:color="4472C4" w:themeColor="accent5" w:sz="4" w:space="0"/>
            <w:insideH w:val="single" w:color="4472C4" w:themeColor="accent5" w:sz="4" w:space="0"/>
            <w:insideV w:val="single" w:color="4472C4" w:themeColor="accent5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276" w:type="dxa"/>
            <w:tcBorders>
              <w:tl2br w:val="nil"/>
              <w:tr2bl w:val="nil"/>
            </w:tcBorders>
            <w:shd w:val="clear" w:color="auto" w:fill="D0E6FF"/>
            <w:vAlign w:val="center"/>
          </w:tcPr>
          <w:p w14:paraId="71BC6AA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微软雅黑" w:hAnsi="微软雅黑" w:eastAsia="微软雅黑"/>
                <w:b/>
                <w:sz w:val="24"/>
                <w:szCs w:val="24"/>
              </w:rPr>
            </w:pPr>
            <w:r>
              <w:rPr>
                <w:rFonts w:hint="eastAsia" w:ascii="微软雅黑" w:hAnsi="微软雅黑" w:eastAsia="微软雅黑"/>
                <w:b/>
                <w:sz w:val="24"/>
                <w:szCs w:val="24"/>
              </w:rPr>
              <w:t>教学反思</w:t>
            </w:r>
          </w:p>
        </w:tc>
        <w:tc>
          <w:tcPr>
            <w:tcW w:w="7173" w:type="dxa"/>
            <w:gridSpan w:val="2"/>
            <w:tcBorders>
              <w:tl2br w:val="nil"/>
              <w:tr2bl w:val="nil"/>
            </w:tcBorders>
            <w:vAlign w:val="center"/>
          </w:tcPr>
          <w:p w14:paraId="08C68E1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 w:ascii="Times New Roman" w:hAnsi="Times New Roman"/>
              </w:rPr>
            </w:pPr>
            <w:r>
              <w:rPr>
                <w:rFonts w:hint="default" w:ascii="Times New Roman" w:hAnsi="Times New Roman"/>
              </w:rPr>
              <w:t xml:space="preserve">课堂教学做到了教学内容正确、教学言语准确、教学板图精当。尤其是教学言语凝练，不说废话；语气亲切自然，体态语言从容淡定，干净、利落、自信地表达自己，是教师职业生涯多年锤炼的结果，也是教师气质的重要组成部分。 </w:t>
            </w:r>
          </w:p>
        </w:tc>
      </w:tr>
      <w:bookmarkEnd w:id="0"/>
    </w:tbl>
    <w:p w14:paraId="499566D4"/>
    <w:sectPr>
      <w:pgSz w:w="11906" w:h="16838"/>
      <w:pgMar w:top="567" w:right="170" w:bottom="850" w:left="170" w:header="567" w:footer="850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922FED1D-1C20-4F7E-A9DA-CE40DD691537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2" w:fontKey="{5825F6C2-FF1C-409A-A717-A0F35671DC02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  <w:embedRegular r:id="rId3" w:fontKey="{10109B15-E7CF-499B-89BE-F8E01F704B29}"/>
  </w:font>
  <w:font w:name="方正宋黑_GBK">
    <w:panose1 w:val="03000509000000000000"/>
    <w:charset w:val="86"/>
    <w:family w:val="script"/>
    <w:pitch w:val="default"/>
    <w:sig w:usb0="00000001" w:usb1="080E0000" w:usb2="0000000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PinYinok">
    <w:panose1 w:val="020B0603050302020204"/>
    <w:charset w:val="00"/>
    <w:family w:val="swiss"/>
    <w:pitch w:val="default"/>
    <w:sig w:usb0="00000000" w:usb1="00000000" w:usb2="00000000" w:usb3="00000000" w:csb0="00000000" w:csb1="00000000"/>
  </w:font>
  <w:font w:name="汉仪菱心体简">
    <w:panose1 w:val="02010400000101010101"/>
    <w:charset w:val="86"/>
    <w:family w:val="auto"/>
    <w:pitch w:val="default"/>
    <w:sig w:usb0="00000001" w:usb1="080E0800" w:usb2="00000002" w:usb3="00000000" w:csb0="00040000" w:csb1="00000000"/>
    <w:embedRegular r:id="rId4" w:fontKey="{79D3EAEA-E996-4365-8653-9BF4581D9A3F}"/>
  </w:font>
  <w:font w:name="思源宋体 CN Heavy">
    <w:panose1 w:val="02020900000000000000"/>
    <w:charset w:val="86"/>
    <w:family w:val="auto"/>
    <w:pitch w:val="default"/>
    <w:sig w:usb0="20000083" w:usb1="2ADF3C10" w:usb2="00000016" w:usb3="00000000" w:csb0="60060107" w:csb1="00000000"/>
  </w:font>
  <w:font w:name="微软简老宋"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5" w:fontKey="{02A195C0-30E7-45F1-B48B-BDA5F6E49DBC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9C28E3C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mc:AlternateContent>
        <mc:Choice Requires="wps">
          <w:drawing>
            <wp:anchor distT="0" distB="0" distL="114300" distR="114300" simplePos="0" relativeHeight="251663360" behindDoc="0" locked="0" layoutInCell="1" allowOverlap="1">
              <wp:simplePos x="0" y="0"/>
              <wp:positionH relativeFrom="column">
                <wp:posOffset>162560</wp:posOffset>
              </wp:positionH>
              <wp:positionV relativeFrom="paragraph">
                <wp:posOffset>-2540</wp:posOffset>
              </wp:positionV>
              <wp:extent cx="7019925" cy="9953625"/>
              <wp:effectExtent l="6350" t="6350" r="22225" b="22225"/>
              <wp:wrapNone/>
              <wp:docPr id="98" name="矩形 9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7019925" cy="9953625"/>
                      </a:xfrm>
                      <a:prstGeom prst="rect">
                        <a:avLst/>
                      </a:prstGeom>
                      <a:solidFill>
                        <a:srgbClr val="FFFFFF">
                          <a:alpha val="73000"/>
                        </a:srgbClr>
                      </a:solidFill>
                      <a:ln>
                        <a:solidFill>
                          <a:srgbClr val="7EC1E1"/>
                        </a:solidFill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2.8pt;margin-top:-0.2pt;height:783.75pt;width:552.75pt;z-index:251663360;v-text-anchor:middle;mso-width-relative:page;mso-height-relative:page;" fillcolor="#FFFFFF" filled="t" stroked="t" coordsize="21600,21600" o:gfxdata="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">
              <v:fill on="t" opacity="47841f" focussize="0,0"/>
              <v:stroke weight="1pt" color="#7EC1E1 [3204]" miterlimit="8" joinstyle="miter"/>
              <v:imagedata o:title=""/>
              <o:lock v:ext="edit" aspectratio="f"/>
            </v:rect>
          </w:pict>
        </mc:Fallback>
      </mc:AlternateContent>
    </w:r>
    <w:r>
      <w:rPr>
        <w:sz w:val="18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249555</wp:posOffset>
              </wp:positionH>
              <wp:positionV relativeFrom="paragraph">
                <wp:posOffset>5715</wp:posOffset>
              </wp:positionV>
              <wp:extent cx="6840220" cy="9972040"/>
              <wp:effectExtent l="6350" t="6350" r="11430" b="22860"/>
              <wp:wrapNone/>
              <wp:docPr id="8" name="矩形 8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293370" y="365760"/>
                        <a:ext cx="6840220" cy="9972040"/>
                      </a:xfrm>
                      <a:prstGeom prst="rect">
                        <a:avLst/>
                      </a:prstGeom>
                      <a:solidFill>
                        <a:schemeClr val="bg1">
                          <a:alpha val="55000"/>
                        </a:schemeClr>
                      </a:solidFill>
                      <a:ln>
                        <a:solidFill>
                          <a:schemeClr val="bg1">
                            <a:lumMod val="95000"/>
                          </a:schemeClr>
                        </a:solidFill>
                        <a:prstDash val="solid"/>
                      </a:ln>
                    </wps:spPr>
                    <wps:style>
                      <a:lnRef idx="2">
                        <a:schemeClr val="accent1">
                          <a:lumMod val="75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rgbClr val="FFFFFF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rect id="_x0000_s1026" o:spid="_x0000_s1026" o:spt="1" style="position:absolute;left:0pt;margin-left:19.65pt;margin-top:0.45pt;height:785.2pt;width:538.6pt;z-index:251660288;v-text-anchor:middle;mso-width-relative:page;mso-height-relative:page;" fillcolor="#FFFFFF [3212]" filled="t" stroked="t" coordsize="21600,21600" o:gfxdata="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">
              <v:fill on="t" opacity="36044f" focussize="0,0"/>
              <v:stroke weight="1pt" color="#F2F2F2 [3052]" miterlimit="8" joinstyle="miter"/>
              <v:imagedata o:title=""/>
              <o:lock v:ext="edit" aspectratio="f"/>
            </v:rect>
          </w:pict>
        </mc:Fallback>
      </mc:AlternateContent>
    </w:r>
    <w:r>
      <w:drawing>
        <wp:anchor distT="0" distB="0" distL="114300" distR="114300" simplePos="0" relativeHeight="251662336" behindDoc="0" locked="0" layoutInCell="1" allowOverlap="1">
          <wp:simplePos x="0" y="0"/>
          <wp:positionH relativeFrom="column">
            <wp:posOffset>-189230</wp:posOffset>
          </wp:positionH>
          <wp:positionV relativeFrom="paragraph">
            <wp:posOffset>-476250</wp:posOffset>
          </wp:positionV>
          <wp:extent cx="7640955" cy="10807700"/>
          <wp:effectExtent l="0" t="0" r="17145" b="12700"/>
          <wp:wrapNone/>
          <wp:docPr id="95" name="图片 95" descr="临床医生背景图片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" name="图片 95" descr="临床医生背景图片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40955" cy="1080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hint="eastAsia" w:eastAsia="宋体"/>
        <w:lang w:eastAsia="zh-CN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column">
            <wp:posOffset>-113030</wp:posOffset>
          </wp:positionH>
          <wp:positionV relativeFrom="paragraph">
            <wp:posOffset>-350520</wp:posOffset>
          </wp:positionV>
          <wp:extent cx="7559040" cy="10692130"/>
          <wp:effectExtent l="0" t="0" r="3810" b="13970"/>
          <wp:wrapNone/>
          <wp:docPr id="7" name="图片 7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图片 7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76D56191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inline distT="0" distB="0" distL="114300" distR="114300">
          <wp:extent cx="6614160" cy="9355455"/>
          <wp:effectExtent l="0" t="0" r="15240" b="17145"/>
          <wp:docPr id="6" name="图片 6" descr="医学背景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6" descr="医学背景2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6614160" cy="935545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1DB6F23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Theme="minorEastAsia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-224790</wp:posOffset>
          </wp:positionH>
          <wp:positionV relativeFrom="page">
            <wp:posOffset>0</wp:posOffset>
          </wp:positionV>
          <wp:extent cx="7676515" cy="7571105"/>
          <wp:effectExtent l="0" t="0" r="635" b="0"/>
          <wp:wrapNone/>
          <wp:docPr id="3" name="图片 3" descr="19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图片 3" descr="19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676515" cy="757110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UwZDJhYjUyNWMyYTM4YmY1YzczYWE4MTIwOWE1NDY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27B08F2"/>
    <w:rsid w:val="0A120443"/>
    <w:rsid w:val="0AC91BFE"/>
    <w:rsid w:val="0E3C75E8"/>
    <w:rsid w:val="0F244062"/>
    <w:rsid w:val="18E44A63"/>
    <w:rsid w:val="1FB84519"/>
    <w:rsid w:val="2003061B"/>
    <w:rsid w:val="20F13C9B"/>
    <w:rsid w:val="238347DF"/>
    <w:rsid w:val="24B477DD"/>
    <w:rsid w:val="278141AB"/>
    <w:rsid w:val="28B578A7"/>
    <w:rsid w:val="30564A47"/>
    <w:rsid w:val="322A12C5"/>
    <w:rsid w:val="34AD60CD"/>
    <w:rsid w:val="34B67F89"/>
    <w:rsid w:val="368D542E"/>
    <w:rsid w:val="388B134B"/>
    <w:rsid w:val="436C72A2"/>
    <w:rsid w:val="43A6660D"/>
    <w:rsid w:val="43CD7F64"/>
    <w:rsid w:val="44B33A23"/>
    <w:rsid w:val="45C91BBA"/>
    <w:rsid w:val="48AA54D8"/>
    <w:rsid w:val="49703285"/>
    <w:rsid w:val="49F8701E"/>
    <w:rsid w:val="4C7F0E23"/>
    <w:rsid w:val="582E68E8"/>
    <w:rsid w:val="5A7C6694"/>
    <w:rsid w:val="5FE01C28"/>
    <w:rsid w:val="5FFC3909"/>
    <w:rsid w:val="600E33E1"/>
    <w:rsid w:val="622A303A"/>
    <w:rsid w:val="71C561B9"/>
    <w:rsid w:val="723010AC"/>
    <w:rsid w:val="747F1FAF"/>
    <w:rsid w:val="7A106FE1"/>
    <w:rsid w:val="7E1F5A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nhideWhenUsed="0" w:uiPriority="0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0" w:semiHidden="0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3"/>
    <w:qFormat/>
    <w:uiPriority w:val="0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5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6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8"/>
    <w:unhideWhenUsed/>
    <w:qFormat/>
    <w:uiPriority w:val="0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19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8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customStyle="1" w:styleId="13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4">
    <w:name w:val="Heading #3|1"/>
    <w:basedOn w:val="1"/>
    <w:link w:val="15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5">
    <w:name w:val="Heading #3|1 Char"/>
    <w:link w:val="14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6">
    <w:name w:val="Body text|1"/>
    <w:basedOn w:val="1"/>
    <w:link w:val="17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7">
    <w:name w:val="Body text|1 Char"/>
    <w:link w:val="16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8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19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0">
    <w:name w:val="List Paragraph"/>
    <w:basedOn w:val="1"/>
    <w:qFormat/>
    <w:uiPriority w:val="34"/>
    <w:pPr>
      <w:ind w:firstLine="420" w:firstLineChars="200"/>
    </w:pPr>
  </w:style>
  <w:style w:type="paragraph" w:customStyle="1" w:styleId="21">
    <w:name w:val="知识拓展内容"/>
    <w:basedOn w:val="1"/>
    <w:link w:val="22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2">
    <w:name w:val="知识拓展内容 Char"/>
    <w:link w:val="21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3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4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5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6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7">
    <w:name w:val="图片"/>
    <w:basedOn w:val="1"/>
    <w:next w:val="7"/>
    <w:link w:val="29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8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29">
    <w:name w:val="图片 Char"/>
    <w:link w:val="27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0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customXml" Target="../customXml/item1.xml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16</Pages>
  <Words>10970</Words>
  <Characters>11125</Characters>
  <Lines>1</Lines>
  <Paragraphs>1</Paragraphs>
  <TotalTime>1</TotalTime>
  <ScaleCrop>false</ScaleCrop>
  <LinksUpToDate>false</LinksUpToDate>
  <CharactersWithSpaces>11193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2025-07-24T06:38:59Z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AA0EBAD398F44A40AE51614044232EA2_13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